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DB94" w14:textId="77777777" w:rsidR="00955623" w:rsidRDefault="00955623" w:rsidP="46DD3057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65FEE4C6" w14:textId="77F8E255" w:rsidR="41BC660A" w:rsidRDefault="00BD61C1" w:rsidP="46DD3057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Igor </w:t>
      </w:r>
      <w:proofErr w:type="spellStart"/>
      <w:r>
        <w:rPr>
          <w:b/>
          <w:bCs/>
          <w:color w:val="000000" w:themeColor="text1"/>
          <w:sz w:val="24"/>
          <w:szCs w:val="24"/>
        </w:rPr>
        <w:t>Taro</w:t>
      </w:r>
      <w:proofErr w:type="spellEnd"/>
    </w:p>
    <w:p w14:paraId="4EE6806F" w14:textId="0BF34529" w:rsidR="00F24DD0" w:rsidRDefault="00BD61C1" w:rsidP="00AE693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sise</w:t>
      </w:r>
      <w:r w:rsidR="46DD3057" w:rsidRPr="46DD3057">
        <w:rPr>
          <w:color w:val="000000" w:themeColor="text1"/>
          <w:sz w:val="24"/>
          <w:szCs w:val="24"/>
        </w:rPr>
        <w:t>minister</w:t>
      </w:r>
    </w:p>
    <w:p w14:paraId="460DE612" w14:textId="6049C1FB" w:rsidR="004201C4" w:rsidRPr="002F39B6" w:rsidRDefault="46DD3057" w:rsidP="46DD3057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</w:t>
      </w:r>
      <w:r w:rsidR="00BD61C1">
        <w:rPr>
          <w:color w:val="000000" w:themeColor="text1"/>
          <w:sz w:val="24"/>
          <w:szCs w:val="24"/>
        </w:rPr>
        <w:t>ise</w:t>
      </w:r>
      <w:r w:rsidRPr="46DD3057">
        <w:rPr>
          <w:color w:val="000000" w:themeColor="text1"/>
          <w:sz w:val="24"/>
          <w:szCs w:val="24"/>
        </w:rPr>
        <w:t>ministeerium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sz w:val="24"/>
          <w:szCs w:val="24"/>
        </w:rPr>
        <w:t>Teie:</w:t>
      </w:r>
      <w:r w:rsidR="00F24DD0">
        <w:tab/>
      </w:r>
      <w:r w:rsidR="00BD61C1">
        <w:rPr>
          <w:sz w:val="24"/>
          <w:szCs w:val="24"/>
        </w:rPr>
        <w:t>1</w:t>
      </w:r>
      <w:r w:rsidR="00E52058">
        <w:rPr>
          <w:sz w:val="24"/>
          <w:szCs w:val="24"/>
        </w:rPr>
        <w:t>0</w:t>
      </w:r>
      <w:r w:rsidRPr="46DD3057">
        <w:rPr>
          <w:sz w:val="24"/>
          <w:szCs w:val="24"/>
        </w:rPr>
        <w:t>.</w:t>
      </w:r>
      <w:r w:rsidR="00BD61C1">
        <w:rPr>
          <w:sz w:val="24"/>
          <w:szCs w:val="24"/>
        </w:rPr>
        <w:t>0</w:t>
      </w:r>
      <w:r w:rsidR="00E52058">
        <w:rPr>
          <w:sz w:val="24"/>
          <w:szCs w:val="24"/>
        </w:rPr>
        <w:t>4</w:t>
      </w:r>
      <w:r w:rsidRPr="46DD3057">
        <w:rPr>
          <w:sz w:val="24"/>
          <w:szCs w:val="24"/>
        </w:rPr>
        <w:t>.202</w:t>
      </w:r>
      <w:r w:rsidR="00BD61C1">
        <w:rPr>
          <w:sz w:val="24"/>
          <w:szCs w:val="24"/>
        </w:rPr>
        <w:t xml:space="preserve">6 </w:t>
      </w:r>
      <w:r w:rsidR="00E52058">
        <w:rPr>
          <w:sz w:val="24"/>
          <w:szCs w:val="24"/>
        </w:rPr>
        <w:tab/>
      </w:r>
      <w:r w:rsidR="00E52058">
        <w:rPr>
          <w:sz w:val="24"/>
          <w:szCs w:val="24"/>
        </w:rPr>
        <w:tab/>
      </w:r>
      <w:r w:rsidR="00E52058">
        <w:rPr>
          <w:sz w:val="24"/>
          <w:szCs w:val="24"/>
        </w:rPr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color w:val="000000" w:themeColor="text1"/>
          <w:sz w:val="24"/>
          <w:szCs w:val="24"/>
        </w:rPr>
        <w:t xml:space="preserve">Meie: </w:t>
      </w:r>
      <w:r w:rsidR="00F24DD0">
        <w:tab/>
      </w:r>
      <w:r w:rsidRPr="46DD3057">
        <w:rPr>
          <w:color w:val="000000" w:themeColor="text1"/>
          <w:sz w:val="24"/>
          <w:szCs w:val="24"/>
        </w:rPr>
        <w:t>1</w:t>
      </w:r>
      <w:r w:rsidR="00E52058">
        <w:rPr>
          <w:color w:val="000000" w:themeColor="text1"/>
          <w:sz w:val="24"/>
          <w:szCs w:val="24"/>
        </w:rPr>
        <w:t>6</w:t>
      </w:r>
      <w:r w:rsidRPr="46DD3057">
        <w:rPr>
          <w:color w:val="000000" w:themeColor="text1"/>
          <w:sz w:val="24"/>
          <w:szCs w:val="24"/>
        </w:rPr>
        <w:t>.0</w:t>
      </w:r>
      <w:r w:rsidR="00E52058">
        <w:rPr>
          <w:color w:val="000000" w:themeColor="text1"/>
          <w:sz w:val="24"/>
          <w:szCs w:val="24"/>
        </w:rPr>
        <w:t>4</w:t>
      </w:r>
      <w:r w:rsidRPr="46DD3057">
        <w:rPr>
          <w:color w:val="000000" w:themeColor="text1"/>
          <w:sz w:val="24"/>
          <w:szCs w:val="24"/>
        </w:rPr>
        <w:t>.202</w:t>
      </w:r>
      <w:r w:rsidR="00BD61C1">
        <w:rPr>
          <w:color w:val="000000" w:themeColor="text1"/>
          <w:sz w:val="24"/>
          <w:szCs w:val="24"/>
        </w:rPr>
        <w:t>6</w:t>
      </w:r>
      <w:r w:rsidRPr="46DD3057">
        <w:rPr>
          <w:color w:val="000000" w:themeColor="text1"/>
          <w:sz w:val="24"/>
          <w:szCs w:val="24"/>
        </w:rPr>
        <w:t xml:space="preserve"> nr </w:t>
      </w:r>
      <w:r w:rsidR="00BD61C1">
        <w:rPr>
          <w:color w:val="000000" w:themeColor="text1"/>
          <w:sz w:val="24"/>
          <w:szCs w:val="24"/>
        </w:rPr>
        <w:t>2</w:t>
      </w:r>
      <w:r w:rsidR="00E52058">
        <w:rPr>
          <w:color w:val="000000" w:themeColor="text1"/>
          <w:sz w:val="24"/>
          <w:szCs w:val="24"/>
        </w:rPr>
        <w:t>04</w:t>
      </w:r>
      <w:r w:rsidRPr="46DD3057">
        <w:rPr>
          <w:color w:val="000000" w:themeColor="text1"/>
          <w:sz w:val="24"/>
          <w:szCs w:val="24"/>
        </w:rPr>
        <w:t>-</w:t>
      </w:r>
      <w:r w:rsidR="00E52058">
        <w:rPr>
          <w:color w:val="000000" w:themeColor="text1"/>
          <w:sz w:val="24"/>
          <w:szCs w:val="24"/>
        </w:rPr>
        <w:t>4</w:t>
      </w:r>
      <w:r w:rsidRPr="46DD3057">
        <w:rPr>
          <w:color w:val="000000" w:themeColor="text1"/>
          <w:sz w:val="24"/>
          <w:szCs w:val="24"/>
        </w:rPr>
        <w:t xml:space="preserve">B </w:t>
      </w:r>
    </w:p>
    <w:p w14:paraId="6A05A809" w14:textId="77777777" w:rsidR="008D11F0" w:rsidRPr="00A77697" w:rsidRDefault="008D11F0" w:rsidP="00AE6938">
      <w:pPr>
        <w:spacing w:line="276" w:lineRule="auto"/>
        <w:jc w:val="both"/>
        <w:rPr>
          <w:b/>
          <w:sz w:val="24"/>
          <w:szCs w:val="24"/>
        </w:rPr>
      </w:pPr>
    </w:p>
    <w:p w14:paraId="0C7B4861" w14:textId="6D12B196" w:rsidR="00F567E1" w:rsidRPr="00F71287" w:rsidRDefault="00BD61C1" w:rsidP="00AE6938">
      <w:pPr>
        <w:spacing w:line="276" w:lineRule="auto"/>
        <w:jc w:val="both"/>
        <w:rPr>
          <w:b/>
          <w:sz w:val="22"/>
          <w:szCs w:val="22"/>
        </w:rPr>
      </w:pPr>
      <w:r w:rsidRPr="00F71287">
        <w:rPr>
          <w:b/>
          <w:sz w:val="22"/>
          <w:szCs w:val="22"/>
        </w:rPr>
        <w:t>Tagasiside Vabariigi Valitsuse määruse eelnõule</w:t>
      </w:r>
    </w:p>
    <w:p w14:paraId="5A39BBE3" w14:textId="77777777" w:rsidR="00DC2C97" w:rsidRPr="00F71287" w:rsidRDefault="00DC2C97" w:rsidP="00DC2C97">
      <w:pPr>
        <w:jc w:val="both"/>
        <w:rPr>
          <w:bCs/>
          <w:sz w:val="22"/>
          <w:szCs w:val="22"/>
        </w:rPr>
      </w:pPr>
    </w:p>
    <w:p w14:paraId="455A4E56" w14:textId="4B9CFB5D" w:rsidR="006B1D43" w:rsidRPr="0068190A" w:rsidRDefault="67214D9F" w:rsidP="0068190A">
      <w:pPr>
        <w:jc w:val="both"/>
        <w:rPr>
          <w:bCs/>
          <w:sz w:val="22"/>
          <w:szCs w:val="22"/>
        </w:rPr>
      </w:pPr>
      <w:proofErr w:type="spellStart"/>
      <w:r w:rsidRPr="0068190A">
        <w:rPr>
          <w:bCs/>
          <w:sz w:val="22"/>
          <w:szCs w:val="22"/>
          <w:lang w:val="en-US"/>
        </w:rPr>
        <w:t>Täname</w:t>
      </w:r>
      <w:proofErr w:type="spellEnd"/>
      <w:r w:rsidRPr="0068190A">
        <w:rPr>
          <w:bCs/>
          <w:sz w:val="22"/>
          <w:szCs w:val="22"/>
          <w:lang w:val="en-US"/>
        </w:rPr>
        <w:t xml:space="preserve">, et </w:t>
      </w:r>
      <w:proofErr w:type="spellStart"/>
      <w:r w:rsidRPr="0068190A">
        <w:rPr>
          <w:bCs/>
          <w:sz w:val="22"/>
          <w:szCs w:val="22"/>
          <w:lang w:val="en-US"/>
        </w:rPr>
        <w:t>saatsite</w:t>
      </w:r>
      <w:proofErr w:type="spellEnd"/>
      <w:r w:rsidRPr="0068190A">
        <w:rPr>
          <w:bCs/>
          <w:sz w:val="22"/>
          <w:szCs w:val="22"/>
          <w:lang w:val="en-US"/>
        </w:rPr>
        <w:t xml:space="preserve"> Eesti Haiglate </w:t>
      </w:r>
      <w:proofErr w:type="spellStart"/>
      <w:r w:rsidRPr="0068190A">
        <w:rPr>
          <w:bCs/>
          <w:sz w:val="22"/>
          <w:szCs w:val="22"/>
          <w:lang w:val="en-US"/>
        </w:rPr>
        <w:t>Liidule</w:t>
      </w:r>
      <w:proofErr w:type="spellEnd"/>
      <w:r w:rsidRPr="0068190A">
        <w:rPr>
          <w:bCs/>
          <w:sz w:val="22"/>
          <w:szCs w:val="22"/>
          <w:lang w:val="en-US"/>
        </w:rPr>
        <w:t xml:space="preserve"> (</w:t>
      </w:r>
      <w:proofErr w:type="spellStart"/>
      <w:r w:rsidRPr="0068190A">
        <w:rPr>
          <w:bCs/>
          <w:sz w:val="22"/>
          <w:szCs w:val="22"/>
          <w:lang w:val="en-US"/>
        </w:rPr>
        <w:t>edaspidi</w:t>
      </w:r>
      <w:proofErr w:type="spellEnd"/>
      <w:r w:rsidRPr="0068190A">
        <w:rPr>
          <w:bCs/>
          <w:sz w:val="22"/>
          <w:szCs w:val="22"/>
          <w:lang w:val="en-US"/>
        </w:rPr>
        <w:t xml:space="preserve"> EHL) </w:t>
      </w:r>
      <w:proofErr w:type="spellStart"/>
      <w:r w:rsidRPr="0068190A">
        <w:rPr>
          <w:bCs/>
          <w:sz w:val="22"/>
          <w:szCs w:val="22"/>
          <w:lang w:val="en-US"/>
        </w:rPr>
        <w:t>kooskõlastamiseks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ja </w:t>
      </w:r>
      <w:proofErr w:type="spellStart"/>
      <w:r w:rsidR="00BD61C1" w:rsidRPr="0068190A">
        <w:rPr>
          <w:bCs/>
          <w:sz w:val="22"/>
          <w:szCs w:val="22"/>
          <w:lang w:val="en-US"/>
        </w:rPr>
        <w:t>arvamuse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avaldamiseks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Vabariigi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Valitsuse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määruse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"</w:t>
      </w:r>
      <w:proofErr w:type="spellStart"/>
      <w:r w:rsidR="00BD61C1" w:rsidRPr="0068190A">
        <w:rPr>
          <w:bCs/>
          <w:sz w:val="22"/>
          <w:szCs w:val="22"/>
          <w:lang w:val="en-US"/>
        </w:rPr>
        <w:t>Nõuded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varjendile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ja </w:t>
      </w:r>
      <w:proofErr w:type="spellStart"/>
      <w:r w:rsidR="00BD61C1" w:rsidRPr="0068190A">
        <w:rPr>
          <w:bCs/>
          <w:sz w:val="22"/>
          <w:szCs w:val="22"/>
          <w:lang w:val="en-US"/>
        </w:rPr>
        <w:t>varjumisplaanile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, </w:t>
      </w:r>
      <w:proofErr w:type="spellStart"/>
      <w:r w:rsidR="00BD61C1" w:rsidRPr="0068190A">
        <w:rPr>
          <w:bCs/>
          <w:sz w:val="22"/>
          <w:szCs w:val="22"/>
          <w:lang w:val="en-US"/>
        </w:rPr>
        <w:t>varjumiskoha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kohandamise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põhimõtted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ning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varjumisplaani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koostamise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BD61C1" w:rsidRPr="0068190A">
        <w:rPr>
          <w:bCs/>
          <w:sz w:val="22"/>
          <w:szCs w:val="22"/>
          <w:lang w:val="en-US"/>
        </w:rPr>
        <w:t>kord</w:t>
      </w:r>
      <w:proofErr w:type="spellEnd"/>
      <w:r w:rsidR="00BD61C1" w:rsidRPr="0068190A">
        <w:rPr>
          <w:bCs/>
          <w:sz w:val="22"/>
          <w:szCs w:val="22"/>
          <w:lang w:val="en-US"/>
        </w:rPr>
        <w:t xml:space="preserve">" </w:t>
      </w:r>
      <w:proofErr w:type="spellStart"/>
      <w:r w:rsidR="00BD61C1" w:rsidRPr="0068190A">
        <w:rPr>
          <w:bCs/>
          <w:sz w:val="22"/>
          <w:szCs w:val="22"/>
          <w:lang w:val="en-US"/>
        </w:rPr>
        <w:t>eelnõu</w:t>
      </w:r>
      <w:proofErr w:type="spellEnd"/>
      <w:r w:rsidR="00E52058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E52058" w:rsidRPr="0068190A">
        <w:rPr>
          <w:bCs/>
          <w:sz w:val="22"/>
          <w:szCs w:val="22"/>
          <w:lang w:val="en-US"/>
        </w:rPr>
        <w:t>täiendatud</w:t>
      </w:r>
      <w:proofErr w:type="spellEnd"/>
      <w:r w:rsidR="00E52058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E52058" w:rsidRPr="0068190A">
        <w:rPr>
          <w:bCs/>
          <w:sz w:val="22"/>
          <w:szCs w:val="22"/>
          <w:lang w:val="en-US"/>
        </w:rPr>
        <w:t>versiooni</w:t>
      </w:r>
      <w:proofErr w:type="spellEnd"/>
      <w:r w:rsidR="00E52058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E52058" w:rsidRPr="0068190A">
        <w:rPr>
          <w:bCs/>
          <w:sz w:val="22"/>
          <w:szCs w:val="22"/>
          <w:lang w:val="en-US"/>
        </w:rPr>
        <w:t>koos</w:t>
      </w:r>
      <w:proofErr w:type="spellEnd"/>
      <w:r w:rsidR="00E52058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E52058" w:rsidRPr="0068190A">
        <w:rPr>
          <w:bCs/>
          <w:sz w:val="22"/>
          <w:szCs w:val="22"/>
          <w:lang w:val="en-US"/>
        </w:rPr>
        <w:t>märkuste</w:t>
      </w:r>
      <w:proofErr w:type="spellEnd"/>
      <w:r w:rsidR="00E52058"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E52058" w:rsidRPr="0068190A">
        <w:rPr>
          <w:bCs/>
          <w:sz w:val="22"/>
          <w:szCs w:val="22"/>
          <w:lang w:val="en-US"/>
        </w:rPr>
        <w:t>tabeliga</w:t>
      </w:r>
      <w:proofErr w:type="spellEnd"/>
      <w:r w:rsidR="00E52058" w:rsidRPr="0068190A">
        <w:rPr>
          <w:bCs/>
          <w:sz w:val="22"/>
          <w:szCs w:val="22"/>
          <w:lang w:val="en-US"/>
        </w:rPr>
        <w:t>.</w:t>
      </w:r>
    </w:p>
    <w:p w14:paraId="0075CEFA" w14:textId="77777777" w:rsidR="00E76F85" w:rsidRPr="0068190A" w:rsidRDefault="00E76F85" w:rsidP="0068190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3126E354" w14:textId="77777777" w:rsidR="00E76F85" w:rsidRPr="00E76F85" w:rsidRDefault="00E76F85" w:rsidP="0068190A">
      <w:pPr>
        <w:pStyle w:val="NoSpacing"/>
        <w:jc w:val="both"/>
        <w:rPr>
          <w:rFonts w:ascii="Times New Roman" w:hAnsi="Times New Roman" w:cs="Times New Roman"/>
          <w:bCs/>
          <w:lang w:val="en-US"/>
        </w:rPr>
      </w:pPr>
      <w:r w:rsidRPr="00E76F85">
        <w:rPr>
          <w:rFonts w:ascii="Times New Roman" w:hAnsi="Times New Roman" w:cs="Times New Roman"/>
          <w:bCs/>
          <w:lang w:val="en-US"/>
        </w:rPr>
        <w:t>Eesti Haiglate Liit (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edaspidi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EHL)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toetab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eelnõu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eesmärki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suurendada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ühiskonna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kerksust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ning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valmisolekut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kriisideks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Samas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näeme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tervishoiuasutuste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seisukohast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vajadust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eelnõu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täiendavaks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täpsustamiseks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, et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tagada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haiglate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eripära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arvestav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õiguslikult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selge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ja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praktiliselt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rakendatav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regulatsioon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>.</w:t>
      </w:r>
    </w:p>
    <w:p w14:paraId="3451FE7A" w14:textId="77777777" w:rsidR="00E76F85" w:rsidRPr="0068190A" w:rsidRDefault="00E76F85" w:rsidP="0068190A">
      <w:pPr>
        <w:pStyle w:val="NoSpacing"/>
        <w:jc w:val="both"/>
        <w:rPr>
          <w:rFonts w:ascii="Times New Roman" w:hAnsi="Times New Roman" w:cs="Times New Roman"/>
          <w:bCs/>
          <w:lang w:val="en-US"/>
        </w:rPr>
      </w:pPr>
    </w:p>
    <w:p w14:paraId="0FA24408" w14:textId="7CDFE49B" w:rsidR="00E76F85" w:rsidRPr="00E76F85" w:rsidRDefault="00E76F85" w:rsidP="0068190A">
      <w:pPr>
        <w:pStyle w:val="NoSpacing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E76F85">
        <w:rPr>
          <w:rFonts w:ascii="Times New Roman" w:hAnsi="Times New Roman" w:cs="Times New Roman"/>
          <w:bCs/>
          <w:lang w:val="en-US"/>
        </w:rPr>
        <w:t>Alljärgnevalt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esitame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EHL-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i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liikmete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peamised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täiendavad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tähelepanekud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 xml:space="preserve"> ja </w:t>
      </w:r>
      <w:proofErr w:type="spellStart"/>
      <w:r w:rsidRPr="00E76F85">
        <w:rPr>
          <w:rFonts w:ascii="Times New Roman" w:hAnsi="Times New Roman" w:cs="Times New Roman"/>
          <w:bCs/>
          <w:lang w:val="en-US"/>
        </w:rPr>
        <w:t>ettepanekud</w:t>
      </w:r>
      <w:proofErr w:type="spellEnd"/>
      <w:r w:rsidRPr="00E76F85">
        <w:rPr>
          <w:rFonts w:ascii="Times New Roman" w:hAnsi="Times New Roman" w:cs="Times New Roman"/>
          <w:bCs/>
          <w:lang w:val="en-US"/>
        </w:rPr>
        <w:t>.</w:t>
      </w:r>
    </w:p>
    <w:p w14:paraId="745929D8" w14:textId="77777777" w:rsidR="00E76F85" w:rsidRPr="0068190A" w:rsidRDefault="00E76F85" w:rsidP="0068190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3FEBD57B" w14:textId="653F0BD1" w:rsidR="001422C4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Tervishoiuasutuste erisuse sätestamine. Praegu ei käsitle määrus tervishoiuasutusi eraldi kategooriana.</w:t>
      </w:r>
      <w:r w:rsidR="00B97FBD" w:rsidRPr="0068190A">
        <w:rPr>
          <w:rFonts w:ascii="Times New Roman" w:hAnsi="Times New Roman" w:cs="Times New Roman"/>
          <w:bCs/>
        </w:rPr>
        <w:t xml:space="preserve"> </w:t>
      </w:r>
      <w:r w:rsidRPr="0068190A">
        <w:rPr>
          <w:rFonts w:ascii="Times New Roman" w:hAnsi="Times New Roman" w:cs="Times New Roman"/>
          <w:bCs/>
        </w:rPr>
        <w:t xml:space="preserve">Ettepanek </w:t>
      </w:r>
      <w:r w:rsidR="00B97FBD" w:rsidRPr="0068190A">
        <w:rPr>
          <w:rFonts w:ascii="Times New Roman" w:hAnsi="Times New Roman" w:cs="Times New Roman"/>
          <w:bCs/>
        </w:rPr>
        <w:t xml:space="preserve">kaaluda </w:t>
      </w:r>
      <w:r w:rsidRPr="0068190A">
        <w:rPr>
          <w:rFonts w:ascii="Times New Roman" w:hAnsi="Times New Roman" w:cs="Times New Roman"/>
          <w:bCs/>
        </w:rPr>
        <w:t>määrusesse erisät</w:t>
      </w:r>
      <w:r w:rsidR="00B97FBD" w:rsidRPr="0068190A">
        <w:rPr>
          <w:rFonts w:ascii="Times New Roman" w:hAnsi="Times New Roman" w:cs="Times New Roman"/>
          <w:bCs/>
        </w:rPr>
        <w:t>te lisamist</w:t>
      </w:r>
      <w:r w:rsidRPr="0068190A">
        <w:rPr>
          <w:rFonts w:ascii="Times New Roman" w:hAnsi="Times New Roman" w:cs="Times New Roman"/>
          <w:bCs/>
        </w:rPr>
        <w:t xml:space="preserve"> järgmises sõnastuses: „</w:t>
      </w:r>
      <w:r w:rsidRPr="0068190A">
        <w:rPr>
          <w:rFonts w:ascii="Times New Roman" w:hAnsi="Times New Roman" w:cs="Times New Roman"/>
          <w:bCs/>
          <w:i/>
          <w:iCs/>
        </w:rPr>
        <w:t>Tervishoiuasutuste varjumisvõimaluste hindamisel ja varjumisplaani koostamisel tuleb arvestada patsientide liikumisvõimekust, ravitegevuse eripära ning vajadust tagada elutähtsa teenuse toimepidevus.“</w:t>
      </w:r>
    </w:p>
    <w:p w14:paraId="19A8AB06" w14:textId="39A1D4F8" w:rsidR="001422C4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Mõiste</w:t>
      </w:r>
      <w:r w:rsidRPr="0068190A">
        <w:rPr>
          <w:rFonts w:ascii="Times New Roman" w:hAnsi="Times New Roman" w:cs="Times New Roman"/>
          <w:bCs/>
          <w:i/>
          <w:iCs/>
        </w:rPr>
        <w:t xml:space="preserve"> „võimaluse korral“ </w:t>
      </w:r>
      <w:r w:rsidRPr="0068190A">
        <w:rPr>
          <w:rFonts w:ascii="Times New Roman" w:hAnsi="Times New Roman" w:cs="Times New Roman"/>
          <w:bCs/>
        </w:rPr>
        <w:t>täpsustamine</w:t>
      </w:r>
      <w:r w:rsidR="00E76F85" w:rsidRPr="0068190A">
        <w:rPr>
          <w:rFonts w:ascii="Times New Roman" w:hAnsi="Times New Roman" w:cs="Times New Roman"/>
          <w:bCs/>
        </w:rPr>
        <w:t>.</w:t>
      </w:r>
      <w:r w:rsidR="00B97FBD" w:rsidRPr="0068190A">
        <w:rPr>
          <w:rFonts w:ascii="Times New Roman" w:hAnsi="Times New Roman" w:cs="Times New Roman"/>
          <w:bCs/>
        </w:rPr>
        <w:t xml:space="preserve"> </w:t>
      </w:r>
      <w:r w:rsidRPr="0068190A">
        <w:rPr>
          <w:rFonts w:ascii="Times New Roman" w:hAnsi="Times New Roman" w:cs="Times New Roman"/>
          <w:bCs/>
        </w:rPr>
        <w:t>Leiame, et mõiste „</w:t>
      </w:r>
      <w:r w:rsidRPr="0068190A">
        <w:rPr>
          <w:rFonts w:ascii="Times New Roman" w:hAnsi="Times New Roman" w:cs="Times New Roman"/>
          <w:bCs/>
          <w:i/>
          <w:iCs/>
        </w:rPr>
        <w:t>võimaluse korral</w:t>
      </w:r>
      <w:r w:rsidRPr="0068190A">
        <w:rPr>
          <w:rFonts w:ascii="Times New Roman" w:hAnsi="Times New Roman" w:cs="Times New Roman"/>
          <w:bCs/>
        </w:rPr>
        <w:t>“ on õiguslikult ebamäärane ja potentsiaalselt vaidlustatav. Sellest tulenevalt teeme ettepaneku täpsustada määrust alljärgnevalt: „</w:t>
      </w:r>
      <w:r w:rsidRPr="0068190A">
        <w:rPr>
          <w:rFonts w:ascii="Times New Roman" w:hAnsi="Times New Roman" w:cs="Times New Roman"/>
          <w:bCs/>
          <w:i/>
          <w:iCs/>
        </w:rPr>
        <w:t>Varjumiskoha kohandamise võimalikkuse hindamisel arvestatakse tehnilist teostatavust, ohutust, hoone kasutusotstarvet, majanduslikku põhjendatust ning mõju elutähtsa teenuse osutamisele.“</w:t>
      </w:r>
    </w:p>
    <w:p w14:paraId="2C527664" w14:textId="69629ACD" w:rsidR="00D02373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Katvuse ulatuse määratlemine olemasolevates hoonetes</w:t>
      </w:r>
      <w:r w:rsidR="00E05578" w:rsidRPr="0068190A">
        <w:rPr>
          <w:rFonts w:ascii="Times New Roman" w:hAnsi="Times New Roman" w:cs="Times New Roman"/>
          <w:bCs/>
        </w:rPr>
        <w:t>.</w:t>
      </w:r>
      <w:r w:rsidR="00B97FBD" w:rsidRPr="0068190A">
        <w:rPr>
          <w:rFonts w:ascii="Times New Roman" w:hAnsi="Times New Roman" w:cs="Times New Roman"/>
          <w:bCs/>
        </w:rPr>
        <w:t xml:space="preserve"> </w:t>
      </w:r>
      <w:r w:rsidR="00D02373" w:rsidRPr="0068190A">
        <w:rPr>
          <w:rFonts w:ascii="Times New Roman" w:hAnsi="Times New Roman" w:cs="Times New Roman"/>
          <w:bCs/>
        </w:rPr>
        <w:t>P</w:t>
      </w:r>
      <w:r w:rsidRPr="0068190A">
        <w:rPr>
          <w:rFonts w:ascii="Times New Roman" w:hAnsi="Times New Roman" w:cs="Times New Roman"/>
          <w:bCs/>
        </w:rPr>
        <w:t>uudub selgus, kui suurele osale kasutajatest tuleb varjumine tagada</w:t>
      </w:r>
      <w:r w:rsidR="00D02373" w:rsidRPr="0068190A">
        <w:rPr>
          <w:rFonts w:ascii="Times New Roman" w:hAnsi="Times New Roman" w:cs="Times New Roman"/>
          <w:bCs/>
        </w:rPr>
        <w:t xml:space="preserve">. </w:t>
      </w:r>
      <w:r w:rsidR="00E05578" w:rsidRPr="0068190A">
        <w:rPr>
          <w:rFonts w:ascii="Times New Roman" w:hAnsi="Times New Roman" w:cs="Times New Roman"/>
          <w:bCs/>
        </w:rPr>
        <w:t>Leiame, et e</w:t>
      </w:r>
      <w:r w:rsidRPr="0068190A">
        <w:rPr>
          <w:rFonts w:ascii="Times New Roman" w:hAnsi="Times New Roman" w:cs="Times New Roman"/>
          <w:bCs/>
        </w:rPr>
        <w:t>rinev tõlgenduspraktika võib põhjustada vaidlusi.</w:t>
      </w:r>
      <w:r w:rsidR="00E05578" w:rsidRPr="0068190A">
        <w:rPr>
          <w:rFonts w:ascii="Times New Roman" w:hAnsi="Times New Roman" w:cs="Times New Roman"/>
          <w:bCs/>
        </w:rPr>
        <w:t xml:space="preserve"> </w:t>
      </w:r>
      <w:r w:rsidR="00D02373" w:rsidRPr="0068190A">
        <w:rPr>
          <w:rFonts w:ascii="Times New Roman" w:hAnsi="Times New Roman" w:cs="Times New Roman"/>
          <w:bCs/>
        </w:rPr>
        <w:t>Ettepanek lisada põhimõte</w:t>
      </w:r>
      <w:r w:rsidR="00D02373" w:rsidRPr="0068190A">
        <w:rPr>
          <w:rFonts w:ascii="Times New Roman" w:hAnsi="Times New Roman" w:cs="Times New Roman"/>
          <w:bCs/>
          <w:i/>
          <w:iCs/>
        </w:rPr>
        <w:t xml:space="preserve"> </w:t>
      </w:r>
      <w:r w:rsidRPr="0068190A">
        <w:rPr>
          <w:rFonts w:ascii="Times New Roman" w:hAnsi="Times New Roman" w:cs="Times New Roman"/>
          <w:bCs/>
          <w:i/>
          <w:iCs/>
        </w:rPr>
        <w:t>„Olemasolevates hoonetes määrab varjumisvõimaluse ulatuse hoone omanik riskihinnangu alusel, arvestades hoone kasutusrežiimi, kasutajate profiili ja varjumiskoha kohandamise võimalikkust.“</w:t>
      </w:r>
    </w:p>
    <w:p w14:paraId="3023EC22" w14:textId="56F8AC5A" w:rsidR="001422C4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Rekonstrueerimise ja juurdeehituste regulatsiooni täpsustamine</w:t>
      </w:r>
      <w:r w:rsidR="00E05578" w:rsidRPr="0068190A">
        <w:rPr>
          <w:rFonts w:ascii="Times New Roman" w:hAnsi="Times New Roman" w:cs="Times New Roman"/>
          <w:bCs/>
        </w:rPr>
        <w:t>.</w:t>
      </w:r>
      <w:r w:rsidR="00B97FBD" w:rsidRPr="0068190A">
        <w:rPr>
          <w:rFonts w:ascii="Times New Roman" w:hAnsi="Times New Roman" w:cs="Times New Roman"/>
          <w:bCs/>
        </w:rPr>
        <w:t xml:space="preserve"> </w:t>
      </w:r>
      <w:r w:rsidR="00D02373" w:rsidRPr="0068190A">
        <w:rPr>
          <w:rFonts w:ascii="Times New Roman" w:hAnsi="Times New Roman" w:cs="Times New Roman"/>
          <w:bCs/>
        </w:rPr>
        <w:t xml:space="preserve">Ettepanek lisada määrusesse selgesõnaline säte: </w:t>
      </w:r>
      <w:r w:rsidRPr="0068190A">
        <w:rPr>
          <w:rFonts w:ascii="Times New Roman" w:hAnsi="Times New Roman" w:cs="Times New Roman"/>
          <w:bCs/>
          <w:i/>
          <w:iCs/>
        </w:rPr>
        <w:t>„Olemasoleva hoone rekonstrueerimine või juurdeehitus ei too automaatselt kaasa varjendi rajamise kohustust, välja arvatud juhul, kui tegemist on uue hoone rajamisega määruse tähenduses.“</w:t>
      </w:r>
    </w:p>
    <w:p w14:paraId="13A10904" w14:textId="01639AAB" w:rsidR="00C841B1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Üleminekusäte ehitusprojektidele</w:t>
      </w:r>
      <w:r w:rsidR="00E05578" w:rsidRPr="0068190A">
        <w:rPr>
          <w:rFonts w:ascii="Times New Roman" w:hAnsi="Times New Roman" w:cs="Times New Roman"/>
          <w:bCs/>
        </w:rPr>
        <w:t>.</w:t>
      </w:r>
      <w:r w:rsidR="00B97FBD" w:rsidRPr="0068190A">
        <w:rPr>
          <w:rFonts w:ascii="Times New Roman" w:hAnsi="Times New Roman" w:cs="Times New Roman"/>
          <w:bCs/>
        </w:rPr>
        <w:t xml:space="preserve"> </w:t>
      </w:r>
      <w:r w:rsidR="00D02373" w:rsidRPr="0068190A">
        <w:rPr>
          <w:rFonts w:ascii="Times New Roman" w:hAnsi="Times New Roman" w:cs="Times New Roman"/>
          <w:bCs/>
        </w:rPr>
        <w:t xml:space="preserve">Näeme probleemi, et </w:t>
      </w:r>
      <w:r w:rsidRPr="0068190A">
        <w:rPr>
          <w:rFonts w:ascii="Times New Roman" w:hAnsi="Times New Roman" w:cs="Times New Roman"/>
          <w:bCs/>
        </w:rPr>
        <w:t>pooleliolevad projektid võivad sattuda õiguslikku ebakindlusse.</w:t>
      </w:r>
      <w:r w:rsidR="00D02373" w:rsidRPr="0068190A">
        <w:rPr>
          <w:rFonts w:ascii="Times New Roman" w:hAnsi="Times New Roman" w:cs="Times New Roman"/>
          <w:bCs/>
        </w:rPr>
        <w:t xml:space="preserve"> Sellest tulenevalt teeme ettepaneku lisada järgnev säte: </w:t>
      </w:r>
      <w:r w:rsidRPr="0068190A">
        <w:rPr>
          <w:rFonts w:ascii="Times New Roman" w:hAnsi="Times New Roman" w:cs="Times New Roman"/>
          <w:bCs/>
          <w:i/>
          <w:iCs/>
        </w:rPr>
        <w:t>„Enne määruse jõustumist alustatud ehitusprojektidele ei kohaldata määruse varjendinõudeid, sõltumata ehitusloa hilisemast muutmisest.“</w:t>
      </w:r>
    </w:p>
    <w:p w14:paraId="29BF9EB6" w14:textId="4D8628F6" w:rsidR="00E94C0B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Varjumisplaani sidumine kriisi- ja toimepidevusplaanidega</w:t>
      </w:r>
      <w:r w:rsidR="00E05578" w:rsidRPr="0068190A">
        <w:rPr>
          <w:rFonts w:ascii="Times New Roman" w:hAnsi="Times New Roman" w:cs="Times New Roman"/>
          <w:bCs/>
        </w:rPr>
        <w:t>.</w:t>
      </w:r>
      <w:r w:rsidR="00B97FBD" w:rsidRPr="0068190A">
        <w:rPr>
          <w:rFonts w:ascii="Times New Roman" w:hAnsi="Times New Roman" w:cs="Times New Roman"/>
          <w:bCs/>
        </w:rPr>
        <w:t xml:space="preserve"> </w:t>
      </w:r>
      <w:r w:rsidR="00E94C0B" w:rsidRPr="0068190A">
        <w:rPr>
          <w:rFonts w:ascii="Times New Roman" w:hAnsi="Times New Roman" w:cs="Times New Roman"/>
          <w:bCs/>
        </w:rPr>
        <w:t>Praegu on varjumisplaani käsitletud eraldiseisvana, kuigi tegelik toimimine sõltub kriisijuhtimisest.</w:t>
      </w:r>
      <w:r w:rsidR="0068190A" w:rsidRPr="0068190A">
        <w:rPr>
          <w:rFonts w:ascii="Times New Roman" w:hAnsi="Times New Roman" w:cs="Times New Roman"/>
          <w:bCs/>
        </w:rPr>
        <w:t xml:space="preserve"> </w:t>
      </w:r>
      <w:r w:rsidR="00E94C0B" w:rsidRPr="0068190A">
        <w:rPr>
          <w:rFonts w:ascii="Times New Roman" w:hAnsi="Times New Roman" w:cs="Times New Roman"/>
          <w:bCs/>
        </w:rPr>
        <w:t xml:space="preserve">Teeme ettepaneku lisada alljärgnev säte: </w:t>
      </w:r>
      <w:r w:rsidRPr="0068190A">
        <w:rPr>
          <w:rFonts w:ascii="Times New Roman" w:hAnsi="Times New Roman" w:cs="Times New Roman"/>
          <w:bCs/>
          <w:i/>
          <w:iCs/>
        </w:rPr>
        <w:t>„Varjumisplaan koostatakse kooskõlas hoone omaniku kriisi- ja toimepidevusplaanidega ning vajadusel integreeritakse nendega.“</w:t>
      </w:r>
    </w:p>
    <w:p w14:paraId="0A9897D1" w14:textId="77777777" w:rsidR="00C36E56" w:rsidRPr="0068190A" w:rsidRDefault="001422C4" w:rsidP="0068190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Avaliku ja mitteavaliku varjumise selgitamine</w:t>
      </w:r>
      <w:r w:rsidR="008A0E64" w:rsidRPr="0068190A">
        <w:rPr>
          <w:rFonts w:ascii="Times New Roman" w:hAnsi="Times New Roman" w:cs="Times New Roman"/>
          <w:bCs/>
        </w:rPr>
        <w:t xml:space="preserve">. </w:t>
      </w:r>
      <w:r w:rsidR="00E94C0B" w:rsidRPr="0068190A">
        <w:rPr>
          <w:rFonts w:ascii="Times New Roman" w:hAnsi="Times New Roman" w:cs="Times New Roman"/>
          <w:bCs/>
        </w:rPr>
        <w:t>Praegusel kujul jääb haiglate käsitlus avaliku varjumiskohana ebaselgeks.</w:t>
      </w:r>
      <w:r w:rsidR="008A0E64" w:rsidRPr="0068190A">
        <w:rPr>
          <w:rFonts w:ascii="Times New Roman" w:hAnsi="Times New Roman" w:cs="Times New Roman"/>
          <w:bCs/>
        </w:rPr>
        <w:t xml:space="preserve"> </w:t>
      </w:r>
      <w:r w:rsidR="00E94C0B" w:rsidRPr="0068190A">
        <w:rPr>
          <w:rFonts w:ascii="Times New Roman" w:hAnsi="Times New Roman" w:cs="Times New Roman"/>
          <w:bCs/>
        </w:rPr>
        <w:t xml:space="preserve">Ettepanek lisada alljärgnev täiendus: </w:t>
      </w:r>
      <w:r w:rsidRPr="0068190A">
        <w:rPr>
          <w:rFonts w:ascii="Times New Roman" w:hAnsi="Times New Roman" w:cs="Times New Roman"/>
          <w:bCs/>
          <w:i/>
          <w:iCs/>
        </w:rPr>
        <w:t>„Tervishoiuasutuste varjumiskohad on üldjuhul mitteavalikud ning mõeldud eelkõige hoone kasutajatele.“</w:t>
      </w:r>
    </w:p>
    <w:p w14:paraId="1DB316DF" w14:textId="77777777" w:rsidR="0068190A" w:rsidRPr="0068190A" w:rsidRDefault="0068190A" w:rsidP="0068190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686F1BDF" w14:textId="7670AAC5" w:rsidR="00C36E56" w:rsidRPr="0068190A" w:rsidRDefault="0068190A" w:rsidP="0068190A">
      <w:pPr>
        <w:pStyle w:val="NoSpacing"/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>Täiendavalt</w:t>
      </w:r>
      <w:r>
        <w:rPr>
          <w:rFonts w:ascii="Times New Roman" w:hAnsi="Times New Roman" w:cs="Times New Roman"/>
          <w:bCs/>
        </w:rPr>
        <w:t xml:space="preserve"> </w:t>
      </w:r>
      <w:r w:rsidR="006E6EC4">
        <w:rPr>
          <w:rFonts w:ascii="Times New Roman" w:hAnsi="Times New Roman" w:cs="Times New Roman"/>
          <w:bCs/>
        </w:rPr>
        <w:t>eeltoodule peame veelkord asjakohaseks rõhutada, et Soome varjendite süsteem ja seda reguleeriv õigusraamistik</w:t>
      </w:r>
      <w:r w:rsidR="006E6E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võiks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olla ka Eesti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lahenduste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kujundamisel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oluline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lähtekoht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ning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nende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aluspõhimõtteid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oleks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mõistlik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võimalusel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säilitada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Sellest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tulenevalt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juhime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tähelepanu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mitmetele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eelnõus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esitatud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lahendustele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, mis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erinevad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Soome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praktikast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ning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mille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puhul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palume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kaaluda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kehtivate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erinevuste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6E56" w:rsidRPr="0068190A">
        <w:rPr>
          <w:rFonts w:ascii="Times New Roman" w:hAnsi="Times New Roman" w:cs="Times New Roman"/>
          <w:bCs/>
          <w:lang w:val="en-US"/>
        </w:rPr>
        <w:t>põhjendatust</w:t>
      </w:r>
      <w:proofErr w:type="spellEnd"/>
      <w:r w:rsidR="00C36E56" w:rsidRPr="0068190A">
        <w:rPr>
          <w:rFonts w:ascii="Times New Roman" w:hAnsi="Times New Roman" w:cs="Times New Roman"/>
          <w:bCs/>
          <w:lang w:val="en-US"/>
        </w:rPr>
        <w:t>.</w:t>
      </w:r>
    </w:p>
    <w:p w14:paraId="098D30ED" w14:textId="77777777" w:rsidR="00C36E56" w:rsidRPr="0068190A" w:rsidRDefault="00C36E56" w:rsidP="0068190A">
      <w:pPr>
        <w:jc w:val="both"/>
        <w:rPr>
          <w:bCs/>
          <w:sz w:val="22"/>
          <w:szCs w:val="22"/>
        </w:rPr>
      </w:pPr>
    </w:p>
    <w:p w14:paraId="089AB1B1" w14:textId="77777777" w:rsidR="00C36E56" w:rsidRPr="0068190A" w:rsidRDefault="00C36E56" w:rsidP="006E6EC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8190A">
        <w:rPr>
          <w:rFonts w:ascii="Times New Roman" w:hAnsi="Times New Roman"/>
          <w:bCs/>
        </w:rPr>
        <w:t xml:space="preserve">Soome </w:t>
      </w:r>
      <w:proofErr w:type="spellStart"/>
      <w:r w:rsidRPr="0068190A">
        <w:rPr>
          <w:rFonts w:ascii="Times New Roman" w:hAnsi="Times New Roman"/>
          <w:bCs/>
          <w:lang w:val="en-US"/>
        </w:rPr>
        <w:t>regulatsioonis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kasutusel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olev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selge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varjumispinna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maksimaalse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pindala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käsitlus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on </w:t>
      </w:r>
      <w:proofErr w:type="spellStart"/>
      <w:r w:rsidRPr="0068190A">
        <w:rPr>
          <w:rFonts w:ascii="Times New Roman" w:hAnsi="Times New Roman"/>
          <w:bCs/>
          <w:lang w:val="en-US"/>
        </w:rPr>
        <w:t>eelnõus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asendatud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lahendusega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68190A">
        <w:rPr>
          <w:rFonts w:ascii="Times New Roman" w:hAnsi="Times New Roman"/>
          <w:bCs/>
          <w:lang w:val="en-US"/>
        </w:rPr>
        <w:t>kus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varjumispind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tuletatakse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kasutajate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arvu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alusel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. </w:t>
      </w:r>
      <w:proofErr w:type="spellStart"/>
      <w:r w:rsidRPr="0068190A">
        <w:rPr>
          <w:rFonts w:ascii="Times New Roman" w:hAnsi="Times New Roman"/>
          <w:bCs/>
          <w:lang w:val="en-US"/>
        </w:rPr>
        <w:t>Näiteks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on V2 </w:t>
      </w:r>
      <w:proofErr w:type="spellStart"/>
      <w:r w:rsidRPr="0068190A">
        <w:rPr>
          <w:rFonts w:ascii="Times New Roman" w:hAnsi="Times New Roman"/>
          <w:bCs/>
          <w:lang w:val="en-US"/>
        </w:rPr>
        <w:t>varjendi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varjumispinna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maksimaalne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suurus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Eestis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750 m² (1000 × 0,75), </w:t>
      </w:r>
      <w:proofErr w:type="spellStart"/>
      <w:r w:rsidRPr="0068190A">
        <w:rPr>
          <w:rFonts w:ascii="Times New Roman" w:hAnsi="Times New Roman"/>
          <w:bCs/>
          <w:lang w:val="en-US"/>
        </w:rPr>
        <w:t>samas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kui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Soome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S2 </w:t>
      </w:r>
      <w:proofErr w:type="spellStart"/>
      <w:r w:rsidRPr="0068190A">
        <w:rPr>
          <w:rFonts w:ascii="Times New Roman" w:hAnsi="Times New Roman"/>
          <w:bCs/>
          <w:lang w:val="en-US"/>
        </w:rPr>
        <w:t>varjendi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vastav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pindala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on 900 m². </w:t>
      </w:r>
      <w:proofErr w:type="spellStart"/>
      <w:r w:rsidRPr="0068190A">
        <w:rPr>
          <w:rFonts w:ascii="Times New Roman" w:hAnsi="Times New Roman"/>
          <w:bCs/>
          <w:lang w:val="en-US"/>
        </w:rPr>
        <w:t>Palume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selgitada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nende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erinevuste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aluseks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olevaid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kaalutlusi</w:t>
      </w:r>
      <w:proofErr w:type="spellEnd"/>
      <w:r w:rsidRPr="0068190A">
        <w:rPr>
          <w:rFonts w:ascii="Times New Roman" w:hAnsi="Times New Roman"/>
          <w:bCs/>
          <w:lang w:val="en-US"/>
        </w:rPr>
        <w:t>.</w:t>
      </w:r>
    </w:p>
    <w:p w14:paraId="319F929E" w14:textId="77777777" w:rsidR="00C36E56" w:rsidRPr="0068190A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Selguse huvides teeme ettepaneku sõnastada </w:t>
      </w:r>
      <w:r w:rsidRPr="00E76F85">
        <w:rPr>
          <w:bCs/>
          <w:sz w:val="22"/>
          <w:szCs w:val="22"/>
        </w:rPr>
        <w:t>§ 2</w:t>
      </w:r>
      <w:r w:rsidRPr="0068190A">
        <w:rPr>
          <w:bCs/>
          <w:sz w:val="22"/>
          <w:szCs w:val="22"/>
        </w:rPr>
        <w:t xml:space="preserve"> punkt</w:t>
      </w:r>
      <w:r w:rsidRPr="00E76F85">
        <w:rPr>
          <w:bCs/>
          <w:sz w:val="22"/>
          <w:szCs w:val="22"/>
        </w:rPr>
        <w:t xml:space="preserve"> 4</w:t>
      </w:r>
      <w:r w:rsidRPr="0068190A">
        <w:rPr>
          <w:bCs/>
          <w:sz w:val="22"/>
          <w:szCs w:val="22"/>
        </w:rPr>
        <w:t xml:space="preserve"> järgmiselt: „</w:t>
      </w:r>
      <w:r w:rsidRPr="00E76F85">
        <w:rPr>
          <w:bCs/>
          <w:sz w:val="22"/>
          <w:szCs w:val="22"/>
        </w:rPr>
        <w:t xml:space="preserve">varjendi kaitseuks (edaspidi </w:t>
      </w:r>
      <w:r w:rsidRPr="00E76F85">
        <w:rPr>
          <w:bCs/>
          <w:i/>
          <w:iCs/>
          <w:sz w:val="22"/>
          <w:szCs w:val="22"/>
        </w:rPr>
        <w:t>kaitseuks</w:t>
      </w:r>
      <w:r w:rsidRPr="00E76F85">
        <w:rPr>
          <w:bCs/>
          <w:sz w:val="22"/>
          <w:szCs w:val="22"/>
        </w:rPr>
        <w:t>) on varjendi piirdekonstruktsioonis asuv varjendist väljapoole avanev uks</w:t>
      </w:r>
      <w:r w:rsidRPr="0068190A">
        <w:rPr>
          <w:bCs/>
          <w:sz w:val="22"/>
          <w:szCs w:val="22"/>
        </w:rPr>
        <w:t xml:space="preserve"> ja mis suletuna tagab varjendi kaitse välise ohu eest sarnaselt varjendi piirdekonstruktsiooniga ning mille kaudu saab varjendisse siseneda ja varjendist väljuda</w:t>
      </w:r>
      <w:r w:rsidRPr="00E76F85">
        <w:rPr>
          <w:bCs/>
          <w:sz w:val="22"/>
          <w:szCs w:val="22"/>
        </w:rPr>
        <w:t>“</w:t>
      </w:r>
    </w:p>
    <w:p w14:paraId="51C87D88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>§ 2</w:t>
      </w:r>
      <w:r w:rsidRPr="0068190A">
        <w:rPr>
          <w:bCs/>
          <w:sz w:val="22"/>
          <w:szCs w:val="22"/>
        </w:rPr>
        <w:t xml:space="preserve"> punkt</w:t>
      </w:r>
      <w:r w:rsidRPr="00E76F85">
        <w:rPr>
          <w:bCs/>
          <w:sz w:val="22"/>
          <w:szCs w:val="22"/>
        </w:rPr>
        <w:t xml:space="preserve"> 11</w:t>
      </w:r>
      <w:r w:rsidRPr="0068190A">
        <w:rPr>
          <w:bCs/>
          <w:sz w:val="22"/>
          <w:szCs w:val="22"/>
        </w:rPr>
        <w:t xml:space="preserve"> sätestab, et varjendi varuväljapääsutee välimine pääs (edaspidi </w:t>
      </w:r>
      <w:r w:rsidRPr="0068190A">
        <w:rPr>
          <w:bCs/>
          <w:i/>
          <w:iCs/>
          <w:sz w:val="22"/>
          <w:szCs w:val="22"/>
        </w:rPr>
        <w:t>varuväljapääsutee välimine pääs</w:t>
      </w:r>
      <w:r w:rsidRPr="0068190A">
        <w:rPr>
          <w:bCs/>
          <w:sz w:val="22"/>
          <w:szCs w:val="22"/>
        </w:rPr>
        <w:t xml:space="preserve">) on üldjuhul väljapoole avanev uks või luuk, mille kaudu on võimalik varuväljapääsuteelt väljuda </w:t>
      </w:r>
      <w:bookmarkStart w:id="0" w:name="_Hlk218585591"/>
      <w:r w:rsidRPr="0068190A">
        <w:rPr>
          <w:bCs/>
          <w:sz w:val="22"/>
          <w:szCs w:val="22"/>
        </w:rPr>
        <w:t xml:space="preserve">üldjuhul hoone varingualast </w:t>
      </w:r>
      <w:bookmarkEnd w:id="0"/>
      <w:r w:rsidRPr="0068190A">
        <w:rPr>
          <w:bCs/>
          <w:sz w:val="22"/>
          <w:szCs w:val="22"/>
        </w:rPr>
        <w:t xml:space="preserve">välja ning mis tavaolukorras võib olla suletud. </w:t>
      </w:r>
      <w:r w:rsidRPr="00E76F85">
        <w:rPr>
          <w:bCs/>
          <w:sz w:val="22"/>
          <w:szCs w:val="22"/>
        </w:rPr>
        <w:t>Eeld</w:t>
      </w:r>
      <w:r w:rsidRPr="0068190A">
        <w:rPr>
          <w:bCs/>
          <w:sz w:val="22"/>
          <w:szCs w:val="22"/>
        </w:rPr>
        <w:t>uslikult peab</w:t>
      </w:r>
      <w:r w:rsidRPr="00E76F85">
        <w:rPr>
          <w:bCs/>
          <w:sz w:val="22"/>
          <w:szCs w:val="22"/>
        </w:rPr>
        <w:t xml:space="preserve"> varuväljapääsutee välimine pääs olema tavaolukorras suletud.</w:t>
      </w:r>
    </w:p>
    <w:p w14:paraId="1384A4D9" w14:textId="6C4FA704" w:rsidR="00C36E56" w:rsidRPr="0068190A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5 </w:t>
      </w:r>
      <w:r w:rsidRPr="0068190A">
        <w:rPr>
          <w:bCs/>
          <w:sz w:val="22"/>
          <w:szCs w:val="22"/>
        </w:rPr>
        <w:t>l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3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tekst ei anna edasi seletuskirjas lahti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kirjutatud mõtet. Eestis</w:t>
      </w:r>
      <w:r w:rsidRPr="0068190A">
        <w:rPr>
          <w:bCs/>
          <w:sz w:val="22"/>
          <w:szCs w:val="22"/>
        </w:rPr>
        <w:t xml:space="preserve"> on</w:t>
      </w:r>
      <w:r w:rsidRPr="00E76F85">
        <w:rPr>
          <w:bCs/>
          <w:sz w:val="22"/>
          <w:szCs w:val="22"/>
        </w:rPr>
        <w:t xml:space="preserve"> palju piirkondi, kus maa-aluse varjendi rajamine pinnaseveetasemest kõrgemale on võimatu, samas on edukalt sellistes piirkondades rajatud maa-aluseid ruume. Peaks olema </w:t>
      </w:r>
      <w:r w:rsidRPr="0068190A">
        <w:rPr>
          <w:bCs/>
          <w:sz w:val="22"/>
          <w:szCs w:val="22"/>
        </w:rPr>
        <w:t xml:space="preserve">täiendav </w:t>
      </w:r>
      <w:r w:rsidRPr="00E76F85">
        <w:rPr>
          <w:bCs/>
          <w:sz w:val="22"/>
          <w:szCs w:val="22"/>
        </w:rPr>
        <w:t xml:space="preserve">käsitlus piisavalt varundatud pumpamislahenduste vms üleujutuse vältimise lahenduste osas. </w:t>
      </w:r>
    </w:p>
    <w:p w14:paraId="62B4D586" w14:textId="7EF1CB8B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5 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7</w:t>
      </w:r>
      <w:r w:rsidRPr="0068190A">
        <w:rPr>
          <w:bCs/>
          <w:sz w:val="22"/>
          <w:szCs w:val="22"/>
        </w:rPr>
        <w:t xml:space="preserve"> sätestab, et sama </w:t>
      </w:r>
      <w:r w:rsidRPr="00E76F85">
        <w:rPr>
          <w:bCs/>
          <w:sz w:val="22"/>
          <w:szCs w:val="22"/>
        </w:rPr>
        <w:t xml:space="preserve">§ </w:t>
      </w:r>
      <w:r w:rsidRPr="0068190A">
        <w:rPr>
          <w:bCs/>
          <w:sz w:val="22"/>
          <w:szCs w:val="22"/>
        </w:rPr>
        <w:t>l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6 sätestatud juhul võib varjend paikneda kaugeimast selle varjendiga seotud hoonest kuni 250 meetri kaugusel. Vahemaad arvestatakse kaugeima hoone välisuksest kuni </w:t>
      </w:r>
      <w:r w:rsidRPr="0068190A">
        <w:rPr>
          <w:bCs/>
          <w:color w:val="000000" w:themeColor="text1"/>
          <w:sz w:val="22"/>
          <w:szCs w:val="22"/>
        </w:rPr>
        <w:t>kaitseuks</w:t>
      </w:r>
      <w:r w:rsidRPr="0068190A">
        <w:rPr>
          <w:bCs/>
          <w:sz w:val="22"/>
          <w:szCs w:val="22"/>
        </w:rPr>
        <w:t>eni mööda sobilikku liikumisteed. Soome regulatsiooni (</w:t>
      </w:r>
      <w:r w:rsidRPr="00E76F85">
        <w:rPr>
          <w:bCs/>
          <w:sz w:val="22"/>
          <w:szCs w:val="22"/>
        </w:rPr>
        <w:t>408/2011 3 §</w:t>
      </w:r>
      <w:r w:rsidRPr="0068190A">
        <w:rPr>
          <w:bCs/>
          <w:sz w:val="22"/>
          <w:szCs w:val="22"/>
        </w:rPr>
        <w:t>)</w:t>
      </w:r>
      <w:r w:rsidRPr="00E76F85">
        <w:rPr>
          <w:bCs/>
          <w:sz w:val="22"/>
          <w:szCs w:val="22"/>
        </w:rPr>
        <w:t xml:space="preserve"> </w:t>
      </w:r>
      <w:r w:rsidRPr="0068190A">
        <w:rPr>
          <w:bCs/>
          <w:sz w:val="22"/>
          <w:szCs w:val="22"/>
        </w:rPr>
        <w:t xml:space="preserve">kohaselt võib varjend paikneda kuni 500 m kaugusel. </w:t>
      </w:r>
      <w:r w:rsidRPr="00E76F85">
        <w:rPr>
          <w:bCs/>
          <w:sz w:val="22"/>
          <w:szCs w:val="22"/>
        </w:rPr>
        <w:t>Millistel kaalutlustel on Eestis vastav kaugus 2x väiksem?</w:t>
      </w:r>
    </w:p>
    <w:p w14:paraId="4E705477" w14:textId="648974F0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E76F85">
        <w:rPr>
          <w:bCs/>
          <w:sz w:val="22"/>
          <w:szCs w:val="22"/>
        </w:rPr>
        <w:t>Millistel kaalutlustel erineb</w:t>
      </w:r>
      <w:r w:rsidRPr="0068190A">
        <w:rPr>
          <w:bCs/>
          <w:sz w:val="22"/>
          <w:szCs w:val="22"/>
        </w:rPr>
        <w:t xml:space="preserve"> eelnõu </w:t>
      </w:r>
      <w:r w:rsidRPr="00E76F85">
        <w:rPr>
          <w:bCs/>
          <w:sz w:val="22"/>
          <w:szCs w:val="22"/>
        </w:rPr>
        <w:t xml:space="preserve"> § 6 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 xml:space="preserve">7 </w:t>
      </w:r>
      <w:r w:rsidRPr="0068190A">
        <w:rPr>
          <w:bCs/>
          <w:sz w:val="22"/>
          <w:szCs w:val="22"/>
        </w:rPr>
        <w:t xml:space="preserve">sätestatud </w:t>
      </w:r>
      <w:r w:rsidRPr="00E76F85">
        <w:rPr>
          <w:bCs/>
          <w:sz w:val="22"/>
          <w:szCs w:val="22"/>
        </w:rPr>
        <w:t xml:space="preserve">varjumispinna käsitlus Soome </w:t>
      </w:r>
      <w:r w:rsidRPr="0068190A">
        <w:rPr>
          <w:bCs/>
          <w:sz w:val="22"/>
          <w:szCs w:val="22"/>
        </w:rPr>
        <w:t>omast</w:t>
      </w:r>
      <w:r w:rsidRPr="00E76F85">
        <w:rPr>
          <w:bCs/>
          <w:sz w:val="22"/>
          <w:szCs w:val="22"/>
        </w:rPr>
        <w:t>?</w:t>
      </w:r>
    </w:p>
    <w:p w14:paraId="46652A74" w14:textId="4ACF18D3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E76F85">
        <w:rPr>
          <w:bCs/>
          <w:sz w:val="22"/>
          <w:szCs w:val="22"/>
        </w:rPr>
        <w:t>Miks</w:t>
      </w:r>
      <w:r w:rsidRPr="0068190A">
        <w:rPr>
          <w:bCs/>
          <w:sz w:val="22"/>
          <w:szCs w:val="22"/>
        </w:rPr>
        <w:t xml:space="preserve"> erineb eelnõu </w:t>
      </w:r>
      <w:r w:rsidRPr="00E76F85">
        <w:rPr>
          <w:bCs/>
          <w:sz w:val="22"/>
          <w:szCs w:val="22"/>
        </w:rPr>
        <w:t xml:space="preserve"> § 7</w:t>
      </w:r>
      <w:r w:rsidRPr="0068190A">
        <w:rPr>
          <w:bCs/>
          <w:sz w:val="22"/>
          <w:szCs w:val="22"/>
        </w:rPr>
        <w:t xml:space="preserve"> l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4</w:t>
      </w:r>
      <w:r w:rsidRPr="0068190A">
        <w:rPr>
          <w:bCs/>
          <w:sz w:val="22"/>
          <w:szCs w:val="22"/>
        </w:rPr>
        <w:t xml:space="preserve"> sätestatud</w:t>
      </w:r>
      <w:r w:rsidRPr="00E76F85">
        <w:rPr>
          <w:bCs/>
          <w:sz w:val="22"/>
          <w:szCs w:val="22"/>
        </w:rPr>
        <w:t xml:space="preserve"> V2 varjendi põranda paksuse nõue Soome omast?</w:t>
      </w:r>
    </w:p>
    <w:p w14:paraId="321A7A16" w14:textId="7D45B804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Terminoloogia ühtsuse huvides tuleks kogu </w:t>
      </w:r>
      <w:r w:rsidRPr="00E76F85">
        <w:rPr>
          <w:bCs/>
          <w:sz w:val="22"/>
          <w:szCs w:val="22"/>
        </w:rPr>
        <w:t xml:space="preserve">§ 7 </w:t>
      </w:r>
      <w:r w:rsidRPr="0068190A">
        <w:rPr>
          <w:bCs/>
          <w:sz w:val="22"/>
          <w:szCs w:val="22"/>
        </w:rPr>
        <w:t>ulatuses kasutada mõistet</w:t>
      </w:r>
      <w:r w:rsidRPr="00E76F85">
        <w:rPr>
          <w:bCs/>
          <w:sz w:val="22"/>
          <w:szCs w:val="22"/>
        </w:rPr>
        <w:t xml:space="preserve"> „</w:t>
      </w:r>
      <w:r w:rsidRPr="0068190A">
        <w:rPr>
          <w:bCs/>
          <w:sz w:val="22"/>
          <w:szCs w:val="22"/>
        </w:rPr>
        <w:t>raud</w:t>
      </w:r>
      <w:r w:rsidRPr="00E76F85">
        <w:rPr>
          <w:bCs/>
          <w:sz w:val="22"/>
          <w:szCs w:val="22"/>
        </w:rPr>
        <w:t>betoonkonstruktsioon“</w:t>
      </w:r>
      <w:r w:rsidRPr="0068190A">
        <w:rPr>
          <w:bCs/>
          <w:sz w:val="22"/>
          <w:szCs w:val="22"/>
        </w:rPr>
        <w:t xml:space="preserve"> mõiste </w:t>
      </w:r>
      <w:r w:rsidRPr="00E76F85">
        <w:rPr>
          <w:bCs/>
          <w:sz w:val="22"/>
          <w:szCs w:val="22"/>
        </w:rPr>
        <w:t>„betoonkonstruktsioon“</w:t>
      </w:r>
      <w:r w:rsidRPr="0068190A">
        <w:rPr>
          <w:bCs/>
          <w:sz w:val="22"/>
          <w:szCs w:val="22"/>
        </w:rPr>
        <w:t xml:space="preserve"> asemel</w:t>
      </w:r>
      <w:r w:rsidRPr="00E76F85">
        <w:rPr>
          <w:bCs/>
          <w:sz w:val="22"/>
          <w:szCs w:val="22"/>
        </w:rPr>
        <w:t xml:space="preserve"> </w:t>
      </w:r>
      <w:r w:rsidRPr="0068190A">
        <w:rPr>
          <w:bCs/>
          <w:sz w:val="22"/>
          <w:szCs w:val="22"/>
        </w:rPr>
        <w:t>(</w:t>
      </w:r>
      <w:r w:rsidRPr="00E76F85">
        <w:rPr>
          <w:bCs/>
          <w:sz w:val="22"/>
          <w:szCs w:val="22"/>
        </w:rPr>
        <w:t>k</w:t>
      </w:r>
      <w:r w:rsidRPr="0068190A">
        <w:rPr>
          <w:bCs/>
          <w:sz w:val="22"/>
          <w:szCs w:val="22"/>
        </w:rPr>
        <w:t>ooskõlas</w:t>
      </w:r>
      <w:r w:rsidRPr="00E76F85">
        <w:rPr>
          <w:bCs/>
          <w:sz w:val="22"/>
          <w:szCs w:val="22"/>
        </w:rPr>
        <w:t xml:space="preserve"> Soome 408/2011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„</w:t>
      </w:r>
      <w:proofErr w:type="spellStart"/>
      <w:r w:rsidRPr="00E76F85">
        <w:rPr>
          <w:bCs/>
          <w:i/>
          <w:iCs/>
          <w:sz w:val="22"/>
          <w:szCs w:val="22"/>
        </w:rPr>
        <w:t>teräsbetoni</w:t>
      </w:r>
      <w:proofErr w:type="spellEnd"/>
      <w:r w:rsidRPr="00E76F85">
        <w:rPr>
          <w:bCs/>
          <w:sz w:val="22"/>
          <w:szCs w:val="22"/>
        </w:rPr>
        <w:t>“</w:t>
      </w:r>
      <w:r w:rsidRPr="0068190A">
        <w:rPr>
          <w:bCs/>
          <w:sz w:val="22"/>
          <w:szCs w:val="22"/>
        </w:rPr>
        <w:t xml:space="preserve"> mõistega</w:t>
      </w:r>
      <w:r w:rsidRPr="00E76F85">
        <w:rPr>
          <w:bCs/>
          <w:sz w:val="22"/>
          <w:szCs w:val="22"/>
        </w:rPr>
        <w:t>).</w:t>
      </w:r>
    </w:p>
    <w:p w14:paraId="3CCA5E95" w14:textId="4C72179D" w:rsidR="00C36E56" w:rsidRPr="0068190A" w:rsidRDefault="00C36E56" w:rsidP="006E6EC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Cs/>
          <w:lang w:val="en-US"/>
        </w:rPr>
      </w:pPr>
      <w:proofErr w:type="spellStart"/>
      <w:r w:rsidRPr="0068190A">
        <w:rPr>
          <w:rFonts w:ascii="Times New Roman" w:hAnsi="Times New Roman"/>
          <w:bCs/>
          <w:lang w:val="en-US"/>
        </w:rPr>
        <w:t>Eelnõu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seletuskirjas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on </w:t>
      </w:r>
      <w:proofErr w:type="spellStart"/>
      <w:r w:rsidRPr="0068190A">
        <w:rPr>
          <w:rFonts w:ascii="Times New Roman" w:hAnsi="Times New Roman"/>
          <w:bCs/>
          <w:lang w:val="en-US"/>
        </w:rPr>
        <w:t>kasutatud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mõistet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„</w:t>
      </w:r>
      <w:proofErr w:type="spellStart"/>
      <w:r w:rsidRPr="0068190A">
        <w:rPr>
          <w:rFonts w:ascii="Times New Roman" w:hAnsi="Times New Roman"/>
          <w:bCs/>
          <w:lang w:val="en-US"/>
        </w:rPr>
        <w:t>samaväärne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68190A">
        <w:rPr>
          <w:rFonts w:ascii="Times New Roman" w:hAnsi="Times New Roman"/>
          <w:bCs/>
          <w:lang w:val="en-US"/>
        </w:rPr>
        <w:t>tugevus</w:t>
      </w:r>
      <w:proofErr w:type="spellEnd"/>
      <w:r w:rsidRPr="0068190A">
        <w:rPr>
          <w:rFonts w:ascii="Times New Roman" w:hAnsi="Times New Roman"/>
          <w:bCs/>
          <w:lang w:val="en-US"/>
        </w:rPr>
        <w:t>“</w:t>
      </w:r>
      <w:proofErr w:type="gramEnd"/>
      <w:r w:rsidRPr="0068190A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68190A">
        <w:rPr>
          <w:rFonts w:ascii="Times New Roman" w:hAnsi="Times New Roman"/>
          <w:bCs/>
          <w:lang w:val="en-US"/>
        </w:rPr>
        <w:t>samas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kui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eelnõu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r w:rsidRPr="00E76F85">
        <w:rPr>
          <w:rFonts w:ascii="Times New Roman" w:hAnsi="Times New Roman"/>
          <w:bCs/>
        </w:rPr>
        <w:t xml:space="preserve">§ 7 </w:t>
      </w:r>
      <w:r w:rsidR="00D42E14">
        <w:rPr>
          <w:rFonts w:ascii="Times New Roman" w:hAnsi="Times New Roman"/>
          <w:bCs/>
        </w:rPr>
        <w:t>lg</w:t>
      </w:r>
      <w:r w:rsidRPr="0068190A">
        <w:rPr>
          <w:rFonts w:ascii="Times New Roman" w:hAnsi="Times New Roman"/>
          <w:bCs/>
        </w:rPr>
        <w:t xml:space="preserve"> </w:t>
      </w:r>
      <w:r w:rsidRPr="00E76F85">
        <w:rPr>
          <w:rFonts w:ascii="Times New Roman" w:hAnsi="Times New Roman"/>
          <w:bCs/>
        </w:rPr>
        <w:t xml:space="preserve">8 </w:t>
      </w:r>
      <w:r w:rsidRPr="0068190A">
        <w:rPr>
          <w:rFonts w:ascii="Times New Roman" w:hAnsi="Times New Roman"/>
          <w:bCs/>
          <w:lang w:val="en-US"/>
        </w:rPr>
        <w:t xml:space="preserve">on </w:t>
      </w:r>
      <w:proofErr w:type="spellStart"/>
      <w:r w:rsidRPr="0068190A">
        <w:rPr>
          <w:rFonts w:ascii="Times New Roman" w:hAnsi="Times New Roman"/>
          <w:bCs/>
          <w:lang w:val="en-US"/>
        </w:rPr>
        <w:t>kasutatud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mõistet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„</w:t>
      </w:r>
      <w:proofErr w:type="spellStart"/>
      <w:r w:rsidRPr="0068190A">
        <w:rPr>
          <w:rFonts w:ascii="Times New Roman" w:hAnsi="Times New Roman"/>
          <w:bCs/>
          <w:lang w:val="en-US"/>
        </w:rPr>
        <w:t>samaväärne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68190A">
        <w:rPr>
          <w:rFonts w:ascii="Times New Roman" w:hAnsi="Times New Roman"/>
          <w:bCs/>
          <w:lang w:val="en-US"/>
        </w:rPr>
        <w:t>kaitsevõime</w:t>
      </w:r>
      <w:proofErr w:type="spellEnd"/>
      <w:r w:rsidRPr="0068190A">
        <w:rPr>
          <w:rFonts w:ascii="Times New Roman" w:hAnsi="Times New Roman"/>
          <w:bCs/>
          <w:lang w:val="en-US"/>
        </w:rPr>
        <w:t>“</w:t>
      </w:r>
      <w:proofErr w:type="gramEnd"/>
      <w:r w:rsidRPr="0068190A">
        <w:rPr>
          <w:rFonts w:ascii="Times New Roman" w:hAnsi="Times New Roman"/>
          <w:bCs/>
          <w:lang w:val="en-US"/>
        </w:rPr>
        <w:t xml:space="preserve">, mis </w:t>
      </w:r>
      <w:proofErr w:type="spellStart"/>
      <w:r w:rsidRPr="0068190A">
        <w:rPr>
          <w:rFonts w:ascii="Times New Roman" w:hAnsi="Times New Roman"/>
          <w:bCs/>
          <w:lang w:val="en-US"/>
        </w:rPr>
        <w:t>võib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jääda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mitmeti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tõlgendatavaks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(</w:t>
      </w:r>
      <w:proofErr w:type="spellStart"/>
      <w:r w:rsidRPr="0068190A">
        <w:rPr>
          <w:rFonts w:ascii="Times New Roman" w:hAnsi="Times New Roman"/>
          <w:bCs/>
          <w:lang w:val="en-US"/>
        </w:rPr>
        <w:t>nt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radiatsioonikaitse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tähenduses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). </w:t>
      </w:r>
      <w:proofErr w:type="spellStart"/>
      <w:r w:rsidRPr="0068190A">
        <w:rPr>
          <w:rFonts w:ascii="Times New Roman" w:hAnsi="Times New Roman"/>
          <w:bCs/>
          <w:lang w:val="en-US"/>
        </w:rPr>
        <w:t>Soovitame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kaaluda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sõnastuse</w:t>
      </w:r>
      <w:proofErr w:type="spellEnd"/>
      <w:r w:rsidRPr="006819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68190A">
        <w:rPr>
          <w:rFonts w:ascii="Times New Roman" w:hAnsi="Times New Roman"/>
          <w:bCs/>
          <w:lang w:val="en-US"/>
        </w:rPr>
        <w:t>täpsustamist</w:t>
      </w:r>
      <w:proofErr w:type="spellEnd"/>
      <w:r w:rsidRPr="0068190A">
        <w:rPr>
          <w:rFonts w:ascii="Times New Roman" w:hAnsi="Times New Roman"/>
          <w:bCs/>
          <w:lang w:val="en-US"/>
        </w:rPr>
        <w:t>.</w:t>
      </w:r>
    </w:p>
    <w:p w14:paraId="3A9B43A2" w14:textId="5B4B32AF" w:rsidR="00C36E56" w:rsidRPr="0068190A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7 </w:t>
      </w:r>
      <w:r w:rsidRPr="0068190A">
        <w:rPr>
          <w:bCs/>
          <w:sz w:val="22"/>
          <w:szCs w:val="22"/>
        </w:rPr>
        <w:t>l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9</w:t>
      </w:r>
      <w:r w:rsidRPr="0068190A">
        <w:rPr>
          <w:bCs/>
          <w:sz w:val="22"/>
          <w:szCs w:val="22"/>
        </w:rPr>
        <w:t xml:space="preserve"> on </w:t>
      </w:r>
      <w:r w:rsidRPr="00E76F85">
        <w:rPr>
          <w:bCs/>
          <w:sz w:val="22"/>
          <w:szCs w:val="22"/>
        </w:rPr>
        <w:t xml:space="preserve">seletuskirja mõte eelnõus ebaselgelt edasi antud. </w:t>
      </w:r>
      <w:r w:rsidRPr="0068190A">
        <w:rPr>
          <w:bCs/>
          <w:sz w:val="22"/>
          <w:szCs w:val="22"/>
        </w:rPr>
        <w:t>Teeme ettepaneku kaaluda järgmist sõnastust</w:t>
      </w:r>
      <w:r w:rsidRPr="00E76F85">
        <w:rPr>
          <w:bCs/>
          <w:sz w:val="22"/>
          <w:szCs w:val="22"/>
        </w:rPr>
        <w:t xml:space="preserve">: </w:t>
      </w:r>
      <w:r w:rsidRPr="00E76F85">
        <w:rPr>
          <w:bCs/>
          <w:i/>
          <w:iCs/>
          <w:sz w:val="22"/>
          <w:szCs w:val="22"/>
        </w:rPr>
        <w:t>„Varjendi piirdekonstruktsioone võivad läbida ainult varjendit teenindavad tehnosüsteemid.“</w:t>
      </w:r>
    </w:p>
    <w:p w14:paraId="717E7EF5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Palume täpsustada, kas eelnõu </w:t>
      </w:r>
      <w:r w:rsidRPr="00E76F85">
        <w:rPr>
          <w:bCs/>
          <w:sz w:val="22"/>
          <w:szCs w:val="22"/>
        </w:rPr>
        <w:t xml:space="preserve">§ 8 </w:t>
      </w:r>
      <w:r w:rsidRPr="0068190A">
        <w:rPr>
          <w:bCs/>
          <w:sz w:val="22"/>
          <w:szCs w:val="22"/>
        </w:rPr>
        <w:t xml:space="preserve">lg </w:t>
      </w:r>
      <w:r w:rsidRPr="00E76F85">
        <w:rPr>
          <w:bCs/>
          <w:sz w:val="22"/>
          <w:szCs w:val="22"/>
        </w:rPr>
        <w:t>7</w:t>
      </w:r>
      <w:r w:rsidRPr="0068190A">
        <w:rPr>
          <w:bCs/>
          <w:sz w:val="22"/>
          <w:szCs w:val="22"/>
        </w:rPr>
        <w:t xml:space="preserve"> punktis</w:t>
      </w:r>
      <w:r w:rsidRPr="00E76F85">
        <w:rPr>
          <w:bCs/>
          <w:sz w:val="22"/>
          <w:szCs w:val="22"/>
        </w:rPr>
        <w:t xml:space="preserve"> 2</w:t>
      </w:r>
      <w:r w:rsidRPr="0068190A">
        <w:rPr>
          <w:bCs/>
          <w:sz w:val="22"/>
          <w:szCs w:val="22"/>
        </w:rPr>
        <w:t xml:space="preserve"> kehtestatud</w:t>
      </w:r>
      <w:r w:rsidRPr="00E76F85">
        <w:rPr>
          <w:bCs/>
          <w:sz w:val="22"/>
          <w:szCs w:val="22"/>
        </w:rPr>
        <w:t xml:space="preserve"> nõue kehtib ka varjendi varuväljapääsutee välimisele pääsule? Avatäiteid üldjuhul ei loeta konstruktsiooni osaks.</w:t>
      </w:r>
    </w:p>
    <w:p w14:paraId="1CD9666E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Ettepanek sõnastada eelnõu </w:t>
      </w:r>
      <w:r w:rsidRPr="00E76F85">
        <w:rPr>
          <w:bCs/>
          <w:sz w:val="22"/>
          <w:szCs w:val="22"/>
        </w:rPr>
        <w:t xml:space="preserve">§ 8 </w:t>
      </w:r>
      <w:r w:rsidRPr="0068190A">
        <w:rPr>
          <w:bCs/>
          <w:sz w:val="22"/>
          <w:szCs w:val="22"/>
        </w:rPr>
        <w:t xml:space="preserve">lg </w:t>
      </w:r>
      <w:r w:rsidRPr="00E76F85">
        <w:rPr>
          <w:bCs/>
          <w:sz w:val="22"/>
          <w:szCs w:val="22"/>
        </w:rPr>
        <w:t>8</w:t>
      </w:r>
      <w:r w:rsidRPr="0068190A">
        <w:rPr>
          <w:bCs/>
          <w:sz w:val="22"/>
          <w:szCs w:val="22"/>
        </w:rPr>
        <w:t xml:space="preserve"> järgmiselt </w:t>
      </w:r>
      <w:r w:rsidRPr="00E76F85">
        <w:rPr>
          <w:bCs/>
          <w:sz w:val="22"/>
          <w:szCs w:val="22"/>
        </w:rPr>
        <w:t>„</w:t>
      </w:r>
      <w:r w:rsidRPr="00E76F85">
        <w:rPr>
          <w:bCs/>
          <w:i/>
          <w:iCs/>
          <w:sz w:val="22"/>
          <w:szCs w:val="22"/>
        </w:rPr>
        <w:t>Mitmel varjendil võib olla ühine varuväljapääsutee“</w:t>
      </w:r>
      <w:r w:rsidRPr="0068190A">
        <w:rPr>
          <w:bCs/>
          <w:i/>
          <w:iCs/>
          <w:sz w:val="22"/>
          <w:szCs w:val="22"/>
        </w:rPr>
        <w:t>.</w:t>
      </w:r>
    </w:p>
    <w:p w14:paraId="5B3B5350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8 </w:t>
      </w:r>
      <w:r w:rsidRPr="0068190A">
        <w:rPr>
          <w:bCs/>
          <w:sz w:val="22"/>
          <w:szCs w:val="22"/>
        </w:rPr>
        <w:t xml:space="preserve">lg </w:t>
      </w:r>
      <w:r w:rsidRPr="00E76F85">
        <w:rPr>
          <w:bCs/>
          <w:sz w:val="22"/>
          <w:szCs w:val="22"/>
        </w:rPr>
        <w:t>11sõnastus ei anna edasi seletuskirjas toodud mõtet (nt kas trepp on „sujuvalt liikumist takistav lahendus“?)</w:t>
      </w:r>
      <w:r w:rsidRPr="0068190A">
        <w:rPr>
          <w:bCs/>
          <w:sz w:val="22"/>
          <w:szCs w:val="22"/>
        </w:rPr>
        <w:t>. Palume sõnastust täpsustada.</w:t>
      </w:r>
    </w:p>
    <w:p w14:paraId="0DF81D99" w14:textId="3B07E211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9 </w:t>
      </w:r>
      <w:r w:rsidRPr="0068190A">
        <w:rPr>
          <w:bCs/>
          <w:sz w:val="22"/>
          <w:szCs w:val="22"/>
        </w:rPr>
        <w:t>l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6</w:t>
      </w:r>
      <w:r w:rsidRPr="0068190A">
        <w:rPr>
          <w:bCs/>
          <w:sz w:val="22"/>
          <w:szCs w:val="22"/>
        </w:rPr>
        <w:t xml:space="preserve"> kasutatav mõiste</w:t>
      </w:r>
      <w:r w:rsidRPr="00E76F85">
        <w:rPr>
          <w:bCs/>
          <w:sz w:val="22"/>
          <w:szCs w:val="22"/>
        </w:rPr>
        <w:t xml:space="preserve"> „automaatne“ ei ole antud juhul hea vastand manuaalsele või käsitsi käitatavale</w:t>
      </w:r>
      <w:r w:rsidRPr="0068190A">
        <w:rPr>
          <w:bCs/>
          <w:sz w:val="22"/>
          <w:szCs w:val="22"/>
        </w:rPr>
        <w:t>. S</w:t>
      </w:r>
      <w:r w:rsidRPr="00E76F85">
        <w:rPr>
          <w:bCs/>
          <w:sz w:val="22"/>
          <w:szCs w:val="22"/>
        </w:rPr>
        <w:t xml:space="preserve">isuliselt õigem oleks </w:t>
      </w:r>
      <w:r w:rsidRPr="0068190A">
        <w:rPr>
          <w:bCs/>
          <w:sz w:val="22"/>
          <w:szCs w:val="22"/>
        </w:rPr>
        <w:t>kasutada mõistet</w:t>
      </w:r>
      <w:r w:rsidRPr="00E76F85">
        <w:rPr>
          <w:bCs/>
          <w:sz w:val="22"/>
          <w:szCs w:val="22"/>
        </w:rPr>
        <w:t xml:space="preserve"> „mootoriga varustatud“. </w:t>
      </w:r>
    </w:p>
    <w:p w14:paraId="029441E4" w14:textId="1E207C1C" w:rsidR="00C36E56" w:rsidRPr="0068190A" w:rsidRDefault="00C36E56" w:rsidP="0068190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68190A">
        <w:rPr>
          <w:rFonts w:ascii="Times New Roman" w:hAnsi="Times New Roman" w:cs="Times New Roman"/>
          <w:bCs/>
        </w:rPr>
        <w:t xml:space="preserve">Keelelist täpsustamist vajab eelnõu </w:t>
      </w:r>
      <w:r w:rsidRPr="00E76F85">
        <w:rPr>
          <w:rFonts w:ascii="Times New Roman" w:hAnsi="Times New Roman" w:cs="Times New Roman"/>
          <w:bCs/>
        </w:rPr>
        <w:t>§</w:t>
      </w:r>
      <w:r w:rsidRPr="0068190A">
        <w:rPr>
          <w:rFonts w:ascii="Times New Roman" w:hAnsi="Times New Roman" w:cs="Times New Roman"/>
          <w:bCs/>
        </w:rPr>
        <w:t xml:space="preserve"> 10 lg 3. </w:t>
      </w:r>
    </w:p>
    <w:p w14:paraId="0CB06A00" w14:textId="32F8FC10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10 </w:t>
      </w:r>
      <w:r w:rsidRPr="0068190A">
        <w:rPr>
          <w:bCs/>
          <w:sz w:val="22"/>
          <w:szCs w:val="22"/>
        </w:rPr>
        <w:t>l</w:t>
      </w:r>
      <w:r w:rsidR="00D42E14">
        <w:rPr>
          <w:bCs/>
          <w:sz w:val="22"/>
          <w:szCs w:val="22"/>
        </w:rPr>
        <w:t>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>4 ja</w:t>
      </w:r>
      <w:r w:rsidR="00D42E14">
        <w:rPr>
          <w:bCs/>
          <w:sz w:val="22"/>
          <w:szCs w:val="22"/>
        </w:rPr>
        <w:t xml:space="preserve"> lg</w:t>
      </w:r>
      <w:r w:rsidRPr="00E76F85">
        <w:rPr>
          <w:bCs/>
          <w:sz w:val="22"/>
          <w:szCs w:val="22"/>
        </w:rPr>
        <w:t xml:space="preserve"> 5 asuvad jaos „Varjendi ehituslikud nõuded“, kuid käsitlevad täielikult korralduslikke, ehituslikku lahendust mitte mõjutavaid teemasid.</w:t>
      </w:r>
    </w:p>
    <w:p w14:paraId="66DF2EE2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14 </w:t>
      </w:r>
      <w:r w:rsidRPr="0068190A">
        <w:rPr>
          <w:bCs/>
          <w:sz w:val="22"/>
          <w:szCs w:val="22"/>
        </w:rPr>
        <w:t xml:space="preserve">nimetus </w:t>
      </w:r>
      <w:r w:rsidRPr="00E76F85">
        <w:rPr>
          <w:bCs/>
          <w:sz w:val="22"/>
          <w:szCs w:val="22"/>
        </w:rPr>
        <w:t>on „Varjendi esmane kasutuselevõtt, perioodiline hooldus ja kontroll“. Esmas</w:t>
      </w:r>
      <w:r w:rsidRPr="0068190A">
        <w:rPr>
          <w:bCs/>
          <w:sz w:val="22"/>
          <w:szCs w:val="22"/>
        </w:rPr>
        <w:t>t</w:t>
      </w:r>
      <w:r w:rsidRPr="00E76F85">
        <w:rPr>
          <w:bCs/>
          <w:sz w:val="22"/>
          <w:szCs w:val="22"/>
        </w:rPr>
        <w:t xml:space="preserve"> kasutuselevõt</w:t>
      </w:r>
      <w:r w:rsidRPr="0068190A">
        <w:rPr>
          <w:bCs/>
          <w:sz w:val="22"/>
          <w:szCs w:val="22"/>
        </w:rPr>
        <w:t>tu paragrahvis</w:t>
      </w:r>
      <w:r w:rsidRPr="00E76F85">
        <w:rPr>
          <w:bCs/>
          <w:sz w:val="22"/>
          <w:szCs w:val="22"/>
        </w:rPr>
        <w:t xml:space="preserve"> </w:t>
      </w:r>
      <w:r w:rsidRPr="0068190A">
        <w:rPr>
          <w:bCs/>
          <w:sz w:val="22"/>
          <w:szCs w:val="22"/>
        </w:rPr>
        <w:t>käsitletud</w:t>
      </w:r>
      <w:r w:rsidRPr="00E76F85">
        <w:rPr>
          <w:bCs/>
          <w:sz w:val="22"/>
          <w:szCs w:val="22"/>
        </w:rPr>
        <w:t xml:space="preserve"> ei ole.</w:t>
      </w:r>
      <w:r w:rsidRPr="0068190A">
        <w:rPr>
          <w:bCs/>
          <w:sz w:val="22"/>
          <w:szCs w:val="22"/>
        </w:rPr>
        <w:t xml:space="preserve"> </w:t>
      </w:r>
    </w:p>
    <w:p w14:paraId="1B167D5E" w14:textId="5C6CF0F6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  <w:lang w:val="en-US"/>
        </w:rPr>
      </w:pPr>
      <w:r w:rsidRPr="0068190A">
        <w:rPr>
          <w:bCs/>
          <w:sz w:val="22"/>
          <w:szCs w:val="22"/>
        </w:rPr>
        <w:t xml:space="preserve">Eelnõu </w:t>
      </w:r>
      <w:r w:rsidRPr="00E76F85">
        <w:rPr>
          <w:bCs/>
          <w:sz w:val="22"/>
          <w:szCs w:val="22"/>
        </w:rPr>
        <w:t xml:space="preserve">§ 14 </w:t>
      </w:r>
      <w:r w:rsidR="00D42E14">
        <w:rPr>
          <w:bCs/>
          <w:sz w:val="22"/>
          <w:szCs w:val="22"/>
        </w:rPr>
        <w:t>lg</w:t>
      </w:r>
      <w:r w:rsidRPr="0068190A">
        <w:rPr>
          <w:bCs/>
          <w:sz w:val="22"/>
          <w:szCs w:val="22"/>
        </w:rPr>
        <w:t xml:space="preserve"> </w:t>
      </w:r>
      <w:r w:rsidRPr="00E76F85">
        <w:rPr>
          <w:bCs/>
          <w:sz w:val="22"/>
          <w:szCs w:val="22"/>
        </w:rPr>
        <w:t xml:space="preserve">6 – </w:t>
      </w:r>
      <w:r w:rsidRPr="0068190A">
        <w:rPr>
          <w:bCs/>
          <w:sz w:val="22"/>
          <w:szCs w:val="22"/>
        </w:rPr>
        <w:t xml:space="preserve">palume kaaluda </w:t>
      </w:r>
      <w:r w:rsidRPr="00E76F85">
        <w:rPr>
          <w:bCs/>
          <w:sz w:val="22"/>
          <w:szCs w:val="22"/>
        </w:rPr>
        <w:t xml:space="preserve">seletuskirjas </w:t>
      </w:r>
      <w:r w:rsidRPr="0068190A">
        <w:rPr>
          <w:bCs/>
          <w:sz w:val="22"/>
          <w:szCs w:val="22"/>
        </w:rPr>
        <w:t xml:space="preserve"> kirjeldatud põhimõtete</w:t>
      </w:r>
      <w:r w:rsidRPr="00E76F85">
        <w:rPr>
          <w:bCs/>
          <w:sz w:val="22"/>
          <w:szCs w:val="22"/>
        </w:rPr>
        <w:t xml:space="preserve"> kajast</w:t>
      </w:r>
      <w:r w:rsidRPr="0068190A">
        <w:rPr>
          <w:bCs/>
          <w:sz w:val="22"/>
          <w:szCs w:val="22"/>
        </w:rPr>
        <w:t>amist</w:t>
      </w:r>
      <w:r w:rsidRPr="00E76F85">
        <w:rPr>
          <w:bCs/>
          <w:sz w:val="22"/>
          <w:szCs w:val="22"/>
        </w:rPr>
        <w:t xml:space="preserve"> ka määruses</w:t>
      </w:r>
      <w:r w:rsidRPr="0068190A">
        <w:rPr>
          <w:bCs/>
          <w:sz w:val="22"/>
          <w:szCs w:val="22"/>
        </w:rPr>
        <w:t xml:space="preserve">. </w:t>
      </w:r>
      <w:r w:rsidRPr="00E76F85">
        <w:rPr>
          <w:bCs/>
          <w:sz w:val="22"/>
          <w:szCs w:val="22"/>
        </w:rPr>
        <w:t xml:space="preserve"> N</w:t>
      </w:r>
      <w:r w:rsidRPr="0068190A">
        <w:rPr>
          <w:bCs/>
          <w:sz w:val="22"/>
          <w:szCs w:val="22"/>
        </w:rPr>
        <w:t>äiteks</w:t>
      </w:r>
      <w:r w:rsidRPr="00E76F85">
        <w:rPr>
          <w:bCs/>
          <w:sz w:val="22"/>
          <w:szCs w:val="22"/>
        </w:rPr>
        <w:t xml:space="preserve"> „Nõuded pädevale isikule kehtestatakse eraldi õigusaktiga“</w:t>
      </w:r>
      <w:r w:rsidRPr="0068190A">
        <w:rPr>
          <w:bCs/>
          <w:sz w:val="22"/>
          <w:szCs w:val="22"/>
        </w:rPr>
        <w:t xml:space="preserve"> </w:t>
      </w:r>
      <w:r w:rsidRPr="0068190A">
        <w:rPr>
          <w:bCs/>
          <w:sz w:val="22"/>
          <w:szCs w:val="22"/>
          <w:lang w:val="en-US"/>
        </w:rPr>
        <w:t>.</w:t>
      </w:r>
    </w:p>
    <w:p w14:paraId="48D45192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>Täpsustamist vajab l</w:t>
      </w:r>
      <w:r w:rsidRPr="00E76F85">
        <w:rPr>
          <w:bCs/>
          <w:sz w:val="22"/>
          <w:szCs w:val="22"/>
        </w:rPr>
        <w:t xml:space="preserve">isa 1 viimase veeru pealkiri </w:t>
      </w:r>
      <w:r w:rsidRPr="0068190A">
        <w:rPr>
          <w:bCs/>
          <w:sz w:val="22"/>
          <w:szCs w:val="22"/>
        </w:rPr>
        <w:t>(</w:t>
      </w:r>
      <w:r w:rsidRPr="00E76F85">
        <w:rPr>
          <w:bCs/>
          <w:sz w:val="22"/>
          <w:szCs w:val="22"/>
        </w:rPr>
        <w:t>„Varjendi tegeliku varjumispinna vähim suurus sõltuvalt hoonesse projekteeritud kasutajate arvust (%)“</w:t>
      </w:r>
      <w:r w:rsidRPr="0068190A">
        <w:rPr>
          <w:bCs/>
          <w:sz w:val="22"/>
          <w:szCs w:val="22"/>
        </w:rPr>
        <w:t xml:space="preserve">). </w:t>
      </w:r>
      <w:r w:rsidRPr="00E76F85">
        <w:rPr>
          <w:bCs/>
          <w:sz w:val="22"/>
          <w:szCs w:val="22"/>
        </w:rPr>
        <w:t>Mida tähendab suurus protsentides? Kas on mõeldud, et tuleb arvestada nt 80%-</w:t>
      </w:r>
      <w:proofErr w:type="spellStart"/>
      <w:r w:rsidRPr="00E76F85">
        <w:rPr>
          <w:bCs/>
          <w:sz w:val="22"/>
          <w:szCs w:val="22"/>
        </w:rPr>
        <w:t>ga</w:t>
      </w:r>
      <w:proofErr w:type="spellEnd"/>
      <w:r w:rsidRPr="00E76F85">
        <w:rPr>
          <w:bCs/>
          <w:sz w:val="22"/>
          <w:szCs w:val="22"/>
        </w:rPr>
        <w:t xml:space="preserve"> hoone kasutajate arvust x 0,75 m2? Konstantne % sõltumata hoone kasutusfunktsioonist </w:t>
      </w:r>
      <w:r w:rsidRPr="0068190A">
        <w:rPr>
          <w:bCs/>
          <w:sz w:val="22"/>
          <w:szCs w:val="22"/>
        </w:rPr>
        <w:t xml:space="preserve">ei tundu </w:t>
      </w:r>
      <w:r w:rsidRPr="00E76F85">
        <w:rPr>
          <w:bCs/>
          <w:sz w:val="22"/>
          <w:szCs w:val="22"/>
        </w:rPr>
        <w:t>loogili</w:t>
      </w:r>
      <w:r w:rsidRPr="0068190A">
        <w:rPr>
          <w:bCs/>
          <w:sz w:val="22"/>
          <w:szCs w:val="22"/>
        </w:rPr>
        <w:t>selt põhjendatud</w:t>
      </w:r>
      <w:r w:rsidRPr="00E76F85">
        <w:rPr>
          <w:bCs/>
          <w:sz w:val="22"/>
          <w:szCs w:val="22"/>
        </w:rPr>
        <w:t>.</w:t>
      </w:r>
    </w:p>
    <w:p w14:paraId="144A2063" w14:textId="77777777" w:rsidR="00C36E56" w:rsidRPr="00E76F85" w:rsidRDefault="00C36E56" w:rsidP="0068190A">
      <w:pPr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8190A">
        <w:rPr>
          <w:bCs/>
          <w:sz w:val="22"/>
          <w:szCs w:val="22"/>
        </w:rPr>
        <w:t>Lisaks palume selgitada,</w:t>
      </w:r>
      <w:r w:rsidRPr="00E76F85">
        <w:rPr>
          <w:bCs/>
          <w:sz w:val="22"/>
          <w:szCs w:val="22"/>
        </w:rPr>
        <w:t xml:space="preserve"> millisel kaalutlusel peab kolme korteriga kortermajal varjend olema, </w:t>
      </w:r>
      <w:r w:rsidRPr="0068190A">
        <w:rPr>
          <w:bCs/>
          <w:sz w:val="22"/>
          <w:szCs w:val="22"/>
        </w:rPr>
        <w:t xml:space="preserve">kuid </w:t>
      </w:r>
      <w:r w:rsidRPr="00E76F85">
        <w:rPr>
          <w:bCs/>
          <w:sz w:val="22"/>
          <w:szCs w:val="22"/>
        </w:rPr>
        <w:t>näiteks kümne boksiga ridaelamul mitte?</w:t>
      </w:r>
    </w:p>
    <w:p w14:paraId="3B7F4A8C" w14:textId="77777777" w:rsidR="00C36E56" w:rsidRPr="0068190A" w:rsidRDefault="00C36E56" w:rsidP="0068190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039786C9" w14:textId="555BA300" w:rsidR="008A0E64" w:rsidRPr="0068190A" w:rsidRDefault="008A0E64" w:rsidP="0068190A">
      <w:pPr>
        <w:jc w:val="both"/>
        <w:rPr>
          <w:bCs/>
          <w:sz w:val="22"/>
          <w:szCs w:val="22"/>
          <w:lang w:val="en-US"/>
        </w:rPr>
      </w:pPr>
      <w:proofErr w:type="spellStart"/>
      <w:r w:rsidRPr="0068190A">
        <w:rPr>
          <w:bCs/>
          <w:sz w:val="22"/>
          <w:szCs w:val="22"/>
          <w:lang w:val="en-US"/>
        </w:rPr>
        <w:lastRenderedPageBreak/>
        <w:t>Lõpetuseks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="00D42E14">
        <w:rPr>
          <w:bCs/>
          <w:sz w:val="22"/>
          <w:szCs w:val="22"/>
          <w:lang w:val="en-US"/>
        </w:rPr>
        <w:t>rõhutame</w:t>
      </w:r>
      <w:proofErr w:type="spellEnd"/>
      <w:r w:rsidRPr="0068190A">
        <w:rPr>
          <w:bCs/>
          <w:sz w:val="22"/>
          <w:szCs w:val="22"/>
          <w:lang w:val="en-US"/>
        </w:rPr>
        <w:t xml:space="preserve">, et </w:t>
      </w:r>
      <w:proofErr w:type="spellStart"/>
      <w:r w:rsidRPr="0068190A">
        <w:rPr>
          <w:bCs/>
          <w:sz w:val="22"/>
          <w:szCs w:val="22"/>
          <w:lang w:val="en-US"/>
        </w:rPr>
        <w:t>varjumisvõimekuse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loomise</w:t>
      </w:r>
      <w:proofErr w:type="spellEnd"/>
      <w:r w:rsidRPr="0068190A">
        <w:rPr>
          <w:bCs/>
          <w:sz w:val="22"/>
          <w:szCs w:val="22"/>
          <w:lang w:val="en-US"/>
        </w:rPr>
        <w:t xml:space="preserve"> ja </w:t>
      </w:r>
      <w:proofErr w:type="spellStart"/>
      <w:r w:rsidRPr="0068190A">
        <w:rPr>
          <w:bCs/>
          <w:sz w:val="22"/>
          <w:szCs w:val="22"/>
          <w:lang w:val="en-US"/>
        </w:rPr>
        <w:t>arendamisega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kaasnevad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märkimisväärsed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investeeringud</w:t>
      </w:r>
      <w:proofErr w:type="spellEnd"/>
      <w:r w:rsidRPr="0068190A">
        <w:rPr>
          <w:bCs/>
          <w:sz w:val="22"/>
          <w:szCs w:val="22"/>
          <w:lang w:val="en-US"/>
        </w:rPr>
        <w:t xml:space="preserve">. </w:t>
      </w:r>
      <w:proofErr w:type="spellStart"/>
      <w:r w:rsidRPr="0068190A">
        <w:rPr>
          <w:bCs/>
          <w:sz w:val="22"/>
          <w:szCs w:val="22"/>
          <w:lang w:val="en-US"/>
        </w:rPr>
        <w:t>Sellest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tulenevalt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peab</w:t>
      </w:r>
      <w:proofErr w:type="spellEnd"/>
      <w:r w:rsidRPr="0068190A">
        <w:rPr>
          <w:bCs/>
          <w:sz w:val="22"/>
          <w:szCs w:val="22"/>
          <w:lang w:val="en-US"/>
        </w:rPr>
        <w:t xml:space="preserve"> EHL </w:t>
      </w:r>
      <w:proofErr w:type="spellStart"/>
      <w:r w:rsidRPr="0068190A">
        <w:rPr>
          <w:bCs/>
          <w:sz w:val="22"/>
          <w:szCs w:val="22"/>
          <w:lang w:val="en-US"/>
        </w:rPr>
        <w:t>oluliseks</w:t>
      </w:r>
      <w:proofErr w:type="spellEnd"/>
      <w:r w:rsidRPr="0068190A">
        <w:rPr>
          <w:bCs/>
          <w:sz w:val="22"/>
          <w:szCs w:val="22"/>
          <w:lang w:val="en-US"/>
        </w:rPr>
        <w:t xml:space="preserve">, et </w:t>
      </w:r>
      <w:proofErr w:type="spellStart"/>
      <w:r w:rsidRPr="0068190A">
        <w:rPr>
          <w:bCs/>
          <w:sz w:val="22"/>
          <w:szCs w:val="22"/>
          <w:lang w:val="en-US"/>
        </w:rPr>
        <w:t>varjumisvõimekuse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arendamisel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kaalutaks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sihtotstarbeliste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toetusmeetmete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rakendamist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kriitilise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taristu</w:t>
      </w:r>
      <w:proofErr w:type="spellEnd"/>
      <w:r w:rsidRPr="0068190A">
        <w:rPr>
          <w:bCs/>
          <w:sz w:val="22"/>
          <w:szCs w:val="22"/>
          <w:lang w:val="en-US"/>
        </w:rPr>
        <w:t xml:space="preserve"> ja </w:t>
      </w:r>
      <w:proofErr w:type="spellStart"/>
      <w:r w:rsidRPr="0068190A">
        <w:rPr>
          <w:bCs/>
          <w:sz w:val="22"/>
          <w:szCs w:val="22"/>
          <w:lang w:val="en-US"/>
        </w:rPr>
        <w:t>elutähtsa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teenuse</w:t>
      </w:r>
      <w:proofErr w:type="spellEnd"/>
      <w:r w:rsidRPr="0068190A">
        <w:rPr>
          <w:bCs/>
          <w:sz w:val="22"/>
          <w:szCs w:val="22"/>
          <w:lang w:val="en-US"/>
        </w:rPr>
        <w:t xml:space="preserve"> </w:t>
      </w:r>
      <w:proofErr w:type="spellStart"/>
      <w:r w:rsidRPr="0068190A">
        <w:rPr>
          <w:bCs/>
          <w:sz w:val="22"/>
          <w:szCs w:val="22"/>
          <w:lang w:val="en-US"/>
        </w:rPr>
        <w:t>osutajatele</w:t>
      </w:r>
      <w:proofErr w:type="spellEnd"/>
      <w:r w:rsidRPr="0068190A">
        <w:rPr>
          <w:bCs/>
          <w:sz w:val="22"/>
          <w:szCs w:val="22"/>
          <w:lang w:val="en-US"/>
        </w:rPr>
        <w:t>.</w:t>
      </w:r>
    </w:p>
    <w:p w14:paraId="2A1832EE" w14:textId="08BD73B8" w:rsidR="00617201" w:rsidRPr="0068190A" w:rsidRDefault="00617201" w:rsidP="0068190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44075C4D" w14:textId="12D00E27" w:rsidR="00D42E14" w:rsidRPr="00D42E14" w:rsidRDefault="00D42E14" w:rsidP="00D42E14">
      <w:pPr>
        <w:jc w:val="both"/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</w:pP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Täname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veelkord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võimaluse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eest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avaldada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arvamust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ning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palume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esitatud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ettepanekuid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eelnõu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edasisel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menetlemisel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arvesse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võtta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, et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tagada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regulatsiooni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õiguslik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selgus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,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nõuete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proportsionaalsus</w:t>
      </w:r>
      <w:proofErr w:type="spellEnd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 xml:space="preserve"> ja </w:t>
      </w:r>
      <w:proofErr w:type="spellStart"/>
      <w:r w:rsidRPr="00D42E14"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rakendatavus</w:t>
      </w:r>
      <w:proofErr w:type="spellEnd"/>
      <w:r>
        <w:rPr>
          <w:rFonts w:eastAsiaTheme="minorHAnsi"/>
          <w:bCs/>
          <w:kern w:val="2"/>
          <w:sz w:val="22"/>
          <w:szCs w:val="22"/>
          <w:lang w:val="en-US"/>
          <w14:ligatures w14:val="standardContextual"/>
        </w:rPr>
        <w:t>.</w:t>
      </w:r>
    </w:p>
    <w:p w14:paraId="644680E0" w14:textId="77777777" w:rsidR="001422C4" w:rsidRPr="00F71287" w:rsidRDefault="001422C4" w:rsidP="001422C4">
      <w:pPr>
        <w:ind w:left="360"/>
        <w:jc w:val="both"/>
        <w:rPr>
          <w:bCs/>
          <w:sz w:val="22"/>
          <w:szCs w:val="22"/>
        </w:rPr>
      </w:pPr>
    </w:p>
    <w:p w14:paraId="7B32A917" w14:textId="77777777" w:rsidR="00E76F85" w:rsidRDefault="00E76F85" w:rsidP="67214D9F">
      <w:pPr>
        <w:jc w:val="both"/>
        <w:rPr>
          <w:bCs/>
          <w:sz w:val="22"/>
          <w:szCs w:val="22"/>
        </w:rPr>
      </w:pPr>
    </w:p>
    <w:p w14:paraId="16577FF2" w14:textId="77777777" w:rsidR="00E76F85" w:rsidRPr="00E76F85" w:rsidRDefault="00E76F85" w:rsidP="67214D9F">
      <w:pPr>
        <w:jc w:val="both"/>
        <w:rPr>
          <w:bCs/>
          <w:sz w:val="22"/>
          <w:szCs w:val="22"/>
        </w:rPr>
      </w:pPr>
    </w:p>
    <w:p w14:paraId="21A16889" w14:textId="77777777" w:rsidR="00D85FAB" w:rsidRPr="00E76F85" w:rsidRDefault="00D85FAB" w:rsidP="00AE6938">
      <w:pPr>
        <w:spacing w:line="276" w:lineRule="auto"/>
        <w:jc w:val="both"/>
        <w:rPr>
          <w:bCs/>
          <w:sz w:val="22"/>
          <w:szCs w:val="22"/>
        </w:rPr>
      </w:pPr>
      <w:r w:rsidRPr="00E76F85">
        <w:rPr>
          <w:bCs/>
          <w:sz w:val="22"/>
          <w:szCs w:val="22"/>
        </w:rPr>
        <w:t>Lugupidamisega</w:t>
      </w:r>
    </w:p>
    <w:p w14:paraId="0E27B00A" w14:textId="77777777" w:rsidR="00850BB2" w:rsidRPr="008D11F0" w:rsidRDefault="00850BB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5138B190" w14:textId="77777777" w:rsidR="00850BB2" w:rsidRPr="008D11F0" w:rsidRDefault="0080091C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/allkirjastatud digitaalselt/</w:t>
      </w:r>
    </w:p>
    <w:p w14:paraId="60061E4C" w14:textId="77777777" w:rsidR="00D34446" w:rsidRPr="008D11F0" w:rsidRDefault="00D34446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7899DE80" w14:textId="77777777" w:rsidR="00D85FAB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Urmas Sule</w:t>
      </w:r>
    </w:p>
    <w:p w14:paraId="3C17DD87" w14:textId="77777777" w:rsidR="00FB6D88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Juhatuse esimees</w:t>
      </w:r>
    </w:p>
    <w:sectPr w:rsidR="00FB6D88" w:rsidRPr="008D11F0" w:rsidSect="00FF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02" w:right="1021" w:bottom="1202" w:left="1191" w:header="42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79F0" w14:textId="77777777" w:rsidR="00011075" w:rsidRDefault="00011075">
      <w:r>
        <w:separator/>
      </w:r>
    </w:p>
  </w:endnote>
  <w:endnote w:type="continuationSeparator" w:id="0">
    <w:p w14:paraId="460D2FA6" w14:textId="77777777" w:rsidR="00011075" w:rsidRDefault="0001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6938" w:rsidRDefault="00AE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E6938" w:rsidRDefault="00AE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BA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</w:t>
    </w:r>
    <w:r>
      <w:rPr>
        <w:rFonts w:ascii="Arial" w:hAnsi="Arial"/>
      </w:rPr>
      <w:t>Lõõtsa 8</w:t>
    </w:r>
    <w:r>
      <w:rPr>
        <w:rFonts w:ascii="Arial" w:hAnsi="Arial"/>
      </w:rPr>
      <w:tab/>
      <w:t xml:space="preserve">                                  TEL. 677 7010                                  SWEDBANK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24D244BE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11415 TALLINN</w:t>
    </w:r>
    <w:r>
      <w:rPr>
        <w:rFonts w:ascii="Arial" w:hAnsi="Arial"/>
      </w:rPr>
      <w:tab/>
      <w:t xml:space="preserve">                             info@haiglateliit.ee                           EE202200001120101998</w:t>
    </w:r>
  </w:p>
  <w:p w14:paraId="3E4059BF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EESTI</w:t>
    </w:r>
    <w:r>
      <w:rPr>
        <w:rFonts w:ascii="Arial" w:hAnsi="Arial"/>
      </w:rPr>
      <w:tab/>
      <w:t xml:space="preserve">                  </w:t>
    </w:r>
    <w:r>
      <w:rPr>
        <w:rFonts w:ascii="Arial" w:hAnsi="Arial"/>
      </w:rPr>
      <w:tab/>
      <w:t>Registreerimisnumber 80031629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6524" w14:textId="77777777" w:rsidR="00011075" w:rsidRDefault="00011075">
      <w:r>
        <w:separator/>
      </w:r>
    </w:p>
  </w:footnote>
  <w:footnote w:type="continuationSeparator" w:id="0">
    <w:p w14:paraId="42B40A9A" w14:textId="77777777" w:rsidR="00011075" w:rsidRDefault="0001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AE6938" w:rsidRDefault="00AE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AE6938" w:rsidRDefault="00AE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B1061F" w:rsidRDefault="002751E0">
    <w:pPr>
      <w:pStyle w:val="Header"/>
    </w:pPr>
    <w:r>
      <w:rPr>
        <w:noProof/>
      </w:rPr>
      <w:drawing>
        <wp:inline distT="0" distB="0" distL="0" distR="0" wp14:anchorId="7D8BFC9C" wp14:editId="07777777">
          <wp:extent cx="2457450" cy="8667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B76"/>
    <w:multiLevelType w:val="hybridMultilevel"/>
    <w:tmpl w:val="B40A59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2314"/>
    <w:multiLevelType w:val="hybridMultilevel"/>
    <w:tmpl w:val="4CA2375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BBB390E"/>
    <w:multiLevelType w:val="hybridMultilevel"/>
    <w:tmpl w:val="008C570E"/>
    <w:lvl w:ilvl="0" w:tplc="126E70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C7A"/>
    <w:multiLevelType w:val="hybridMultilevel"/>
    <w:tmpl w:val="E4FE8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6655"/>
    <w:multiLevelType w:val="hybridMultilevel"/>
    <w:tmpl w:val="34920F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7699"/>
    <w:multiLevelType w:val="hybridMultilevel"/>
    <w:tmpl w:val="3DF2DA3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4FDA"/>
    <w:multiLevelType w:val="hybridMultilevel"/>
    <w:tmpl w:val="445035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0133F"/>
    <w:multiLevelType w:val="hybridMultilevel"/>
    <w:tmpl w:val="56E2A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D5099"/>
    <w:multiLevelType w:val="hybridMultilevel"/>
    <w:tmpl w:val="7940F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08CE"/>
    <w:multiLevelType w:val="hybridMultilevel"/>
    <w:tmpl w:val="A25C19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01A06"/>
    <w:multiLevelType w:val="hybridMultilevel"/>
    <w:tmpl w:val="2EF01B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A3F2C"/>
    <w:multiLevelType w:val="hybridMultilevel"/>
    <w:tmpl w:val="76A642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2647B"/>
    <w:multiLevelType w:val="hybridMultilevel"/>
    <w:tmpl w:val="0AF2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9674A"/>
    <w:multiLevelType w:val="hybridMultilevel"/>
    <w:tmpl w:val="71D8D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41EEB"/>
    <w:multiLevelType w:val="hybridMultilevel"/>
    <w:tmpl w:val="D00257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21AC"/>
    <w:multiLevelType w:val="multilevel"/>
    <w:tmpl w:val="ED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C188A"/>
    <w:multiLevelType w:val="multilevel"/>
    <w:tmpl w:val="E3E4489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color w:val="auto"/>
        <w:sz w:val="16"/>
        <w:lang w:val="et-EE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abstractNum w:abstractNumId="17" w15:restartNumberingAfterBreak="0">
    <w:nsid w:val="3D00654F"/>
    <w:multiLevelType w:val="hybridMultilevel"/>
    <w:tmpl w:val="1DCA52AA"/>
    <w:lvl w:ilvl="0" w:tplc="B04A7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60C38"/>
    <w:multiLevelType w:val="hybridMultilevel"/>
    <w:tmpl w:val="C296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210A"/>
    <w:multiLevelType w:val="hybridMultilevel"/>
    <w:tmpl w:val="5FAA8D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91D4B"/>
    <w:multiLevelType w:val="hybridMultilevel"/>
    <w:tmpl w:val="AE9638D4"/>
    <w:lvl w:ilvl="0" w:tplc="AFF4BF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1C0"/>
    <w:multiLevelType w:val="hybridMultilevel"/>
    <w:tmpl w:val="B85C2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520B3"/>
    <w:multiLevelType w:val="hybridMultilevel"/>
    <w:tmpl w:val="ED7AE2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7399C"/>
    <w:multiLevelType w:val="hybridMultilevel"/>
    <w:tmpl w:val="C56658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633FE"/>
    <w:multiLevelType w:val="hybridMultilevel"/>
    <w:tmpl w:val="50A8A3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15F2F"/>
    <w:multiLevelType w:val="hybridMultilevel"/>
    <w:tmpl w:val="A98E23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7384D"/>
    <w:multiLevelType w:val="hybridMultilevel"/>
    <w:tmpl w:val="5712AA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83C90"/>
    <w:multiLevelType w:val="multilevel"/>
    <w:tmpl w:val="37866A86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9D2D6A"/>
    <w:multiLevelType w:val="hybridMultilevel"/>
    <w:tmpl w:val="E2BE21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56851"/>
    <w:multiLevelType w:val="hybridMultilevel"/>
    <w:tmpl w:val="E81E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D5EAC"/>
    <w:multiLevelType w:val="hybridMultilevel"/>
    <w:tmpl w:val="D0968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4029"/>
    <w:multiLevelType w:val="hybridMultilevel"/>
    <w:tmpl w:val="73BC66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A7CAB"/>
    <w:multiLevelType w:val="hybridMultilevel"/>
    <w:tmpl w:val="EC9234D2"/>
    <w:lvl w:ilvl="0" w:tplc="C70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A8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F6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E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A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8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F8D2526"/>
    <w:multiLevelType w:val="hybridMultilevel"/>
    <w:tmpl w:val="AD0E8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44A4E"/>
    <w:multiLevelType w:val="hybridMultilevel"/>
    <w:tmpl w:val="C0F2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67965">
    <w:abstractNumId w:val="27"/>
  </w:num>
  <w:num w:numId="2" w16cid:durableId="2139294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37213">
    <w:abstractNumId w:val="8"/>
  </w:num>
  <w:num w:numId="4" w16cid:durableId="201401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069776">
    <w:abstractNumId w:val="21"/>
  </w:num>
  <w:num w:numId="6" w16cid:durableId="1544712611">
    <w:abstractNumId w:val="7"/>
  </w:num>
  <w:num w:numId="7" w16cid:durableId="1086849461">
    <w:abstractNumId w:val="31"/>
  </w:num>
  <w:num w:numId="8" w16cid:durableId="531768593">
    <w:abstractNumId w:val="13"/>
  </w:num>
  <w:num w:numId="9" w16cid:durableId="594173975">
    <w:abstractNumId w:val="10"/>
  </w:num>
  <w:num w:numId="10" w16cid:durableId="430511825">
    <w:abstractNumId w:val="3"/>
  </w:num>
  <w:num w:numId="11" w16cid:durableId="2078092319">
    <w:abstractNumId w:val="32"/>
  </w:num>
  <w:num w:numId="12" w16cid:durableId="1871213901">
    <w:abstractNumId w:val="9"/>
  </w:num>
  <w:num w:numId="13" w16cid:durableId="1705902849">
    <w:abstractNumId w:val="2"/>
  </w:num>
  <w:num w:numId="14" w16cid:durableId="1924338795">
    <w:abstractNumId w:val="18"/>
  </w:num>
  <w:num w:numId="15" w16cid:durableId="1936938691">
    <w:abstractNumId w:val="15"/>
  </w:num>
  <w:num w:numId="16" w16cid:durableId="1354959699">
    <w:abstractNumId w:val="33"/>
  </w:num>
  <w:num w:numId="17" w16cid:durableId="456921108">
    <w:abstractNumId w:val="1"/>
  </w:num>
  <w:num w:numId="18" w16cid:durableId="95248835">
    <w:abstractNumId w:val="5"/>
  </w:num>
  <w:num w:numId="19" w16cid:durableId="1147547786">
    <w:abstractNumId w:val="16"/>
  </w:num>
  <w:num w:numId="20" w16cid:durableId="1789010858">
    <w:abstractNumId w:val="4"/>
  </w:num>
  <w:num w:numId="21" w16cid:durableId="1632976772">
    <w:abstractNumId w:val="20"/>
  </w:num>
  <w:num w:numId="22" w16cid:durableId="1266381129">
    <w:abstractNumId w:val="26"/>
  </w:num>
  <w:num w:numId="23" w16cid:durableId="1039941086">
    <w:abstractNumId w:val="14"/>
  </w:num>
  <w:num w:numId="24" w16cid:durableId="1126239472">
    <w:abstractNumId w:val="0"/>
  </w:num>
  <w:num w:numId="25" w16cid:durableId="1230963735">
    <w:abstractNumId w:val="6"/>
  </w:num>
  <w:num w:numId="26" w16cid:durableId="1525704768">
    <w:abstractNumId w:val="19"/>
  </w:num>
  <w:num w:numId="27" w16cid:durableId="2050302706">
    <w:abstractNumId w:val="25"/>
  </w:num>
  <w:num w:numId="28" w16cid:durableId="948700995">
    <w:abstractNumId w:val="28"/>
  </w:num>
  <w:num w:numId="29" w16cid:durableId="1658655459">
    <w:abstractNumId w:val="24"/>
  </w:num>
  <w:num w:numId="30" w16cid:durableId="1202589563">
    <w:abstractNumId w:val="11"/>
  </w:num>
  <w:num w:numId="31" w16cid:durableId="1445537722">
    <w:abstractNumId w:val="23"/>
  </w:num>
  <w:num w:numId="32" w16cid:durableId="547688184">
    <w:abstractNumId w:val="30"/>
  </w:num>
  <w:num w:numId="33" w16cid:durableId="526974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6991896">
    <w:abstractNumId w:val="29"/>
  </w:num>
  <w:num w:numId="35" w16cid:durableId="93866449">
    <w:abstractNumId w:val="12"/>
  </w:num>
  <w:num w:numId="36" w16cid:durableId="74989173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7"/>
    <w:rsid w:val="000026AC"/>
    <w:rsid w:val="0000271A"/>
    <w:rsid w:val="00003F93"/>
    <w:rsid w:val="00010261"/>
    <w:rsid w:val="00011075"/>
    <w:rsid w:val="000125A8"/>
    <w:rsid w:val="00013FD7"/>
    <w:rsid w:val="00022E9D"/>
    <w:rsid w:val="00022ECE"/>
    <w:rsid w:val="000270EE"/>
    <w:rsid w:val="00032663"/>
    <w:rsid w:val="00035659"/>
    <w:rsid w:val="00035D6E"/>
    <w:rsid w:val="00041F9F"/>
    <w:rsid w:val="000431B3"/>
    <w:rsid w:val="00044406"/>
    <w:rsid w:val="00046224"/>
    <w:rsid w:val="000638C6"/>
    <w:rsid w:val="00076295"/>
    <w:rsid w:val="00077647"/>
    <w:rsid w:val="00080D7B"/>
    <w:rsid w:val="00084198"/>
    <w:rsid w:val="00085ED2"/>
    <w:rsid w:val="00096CD3"/>
    <w:rsid w:val="000A1F20"/>
    <w:rsid w:val="000A4A2E"/>
    <w:rsid w:val="000A5FB7"/>
    <w:rsid w:val="000B1F71"/>
    <w:rsid w:val="000B2984"/>
    <w:rsid w:val="000B4BA1"/>
    <w:rsid w:val="000B4F4F"/>
    <w:rsid w:val="000B5381"/>
    <w:rsid w:val="000B5D3F"/>
    <w:rsid w:val="000C24B1"/>
    <w:rsid w:val="000D211E"/>
    <w:rsid w:val="000D3906"/>
    <w:rsid w:val="000E02AB"/>
    <w:rsid w:val="000E2268"/>
    <w:rsid w:val="000E304F"/>
    <w:rsid w:val="000F059B"/>
    <w:rsid w:val="000F1CD4"/>
    <w:rsid w:val="000F2846"/>
    <w:rsid w:val="000F4316"/>
    <w:rsid w:val="000F4BF6"/>
    <w:rsid w:val="000F56DF"/>
    <w:rsid w:val="00102640"/>
    <w:rsid w:val="0010595B"/>
    <w:rsid w:val="00111D03"/>
    <w:rsid w:val="0012110D"/>
    <w:rsid w:val="00124AD0"/>
    <w:rsid w:val="00130342"/>
    <w:rsid w:val="001319C8"/>
    <w:rsid w:val="00132003"/>
    <w:rsid w:val="00135E1F"/>
    <w:rsid w:val="001407EF"/>
    <w:rsid w:val="00140D81"/>
    <w:rsid w:val="001422C4"/>
    <w:rsid w:val="00142C29"/>
    <w:rsid w:val="00144EB6"/>
    <w:rsid w:val="00146D3E"/>
    <w:rsid w:val="00150420"/>
    <w:rsid w:val="0015180A"/>
    <w:rsid w:val="00152951"/>
    <w:rsid w:val="001536D7"/>
    <w:rsid w:val="00156098"/>
    <w:rsid w:val="00157112"/>
    <w:rsid w:val="0016527B"/>
    <w:rsid w:val="0016599D"/>
    <w:rsid w:val="00170A8C"/>
    <w:rsid w:val="0017123D"/>
    <w:rsid w:val="00172CEC"/>
    <w:rsid w:val="00173293"/>
    <w:rsid w:val="00183B8E"/>
    <w:rsid w:val="0018455C"/>
    <w:rsid w:val="001879D8"/>
    <w:rsid w:val="00190B88"/>
    <w:rsid w:val="001914C4"/>
    <w:rsid w:val="0019582A"/>
    <w:rsid w:val="00195E42"/>
    <w:rsid w:val="00197E4F"/>
    <w:rsid w:val="001A4715"/>
    <w:rsid w:val="001B56E5"/>
    <w:rsid w:val="001B5C58"/>
    <w:rsid w:val="001C43D7"/>
    <w:rsid w:val="001C51D6"/>
    <w:rsid w:val="001C6B85"/>
    <w:rsid w:val="001C7C03"/>
    <w:rsid w:val="001D32C7"/>
    <w:rsid w:val="001D37E4"/>
    <w:rsid w:val="001D5133"/>
    <w:rsid w:val="001E3075"/>
    <w:rsid w:val="001E5F2E"/>
    <w:rsid w:val="001E6073"/>
    <w:rsid w:val="001E6112"/>
    <w:rsid w:val="001F1964"/>
    <w:rsid w:val="001F1BFC"/>
    <w:rsid w:val="001F1CFC"/>
    <w:rsid w:val="001F1EB3"/>
    <w:rsid w:val="0020348F"/>
    <w:rsid w:val="002065E5"/>
    <w:rsid w:val="0020794C"/>
    <w:rsid w:val="00207C9D"/>
    <w:rsid w:val="00216FB0"/>
    <w:rsid w:val="00225D7D"/>
    <w:rsid w:val="00231776"/>
    <w:rsid w:val="00235970"/>
    <w:rsid w:val="0024038F"/>
    <w:rsid w:val="002408F7"/>
    <w:rsid w:val="0024269B"/>
    <w:rsid w:val="0024289D"/>
    <w:rsid w:val="00243C55"/>
    <w:rsid w:val="00245043"/>
    <w:rsid w:val="00246398"/>
    <w:rsid w:val="00246BE5"/>
    <w:rsid w:val="00252117"/>
    <w:rsid w:val="00260042"/>
    <w:rsid w:val="00264EDA"/>
    <w:rsid w:val="00272D7B"/>
    <w:rsid w:val="002751E0"/>
    <w:rsid w:val="002755A3"/>
    <w:rsid w:val="002759F5"/>
    <w:rsid w:val="00277211"/>
    <w:rsid w:val="00280C76"/>
    <w:rsid w:val="00281597"/>
    <w:rsid w:val="002816DF"/>
    <w:rsid w:val="00282E86"/>
    <w:rsid w:val="00290B4D"/>
    <w:rsid w:val="002914F5"/>
    <w:rsid w:val="00292128"/>
    <w:rsid w:val="00292452"/>
    <w:rsid w:val="00295897"/>
    <w:rsid w:val="002A1588"/>
    <w:rsid w:val="002B049F"/>
    <w:rsid w:val="002B0CF1"/>
    <w:rsid w:val="002B189D"/>
    <w:rsid w:val="002B421D"/>
    <w:rsid w:val="002B7EF7"/>
    <w:rsid w:val="002C08A8"/>
    <w:rsid w:val="002C3F3C"/>
    <w:rsid w:val="002D1270"/>
    <w:rsid w:val="002D260E"/>
    <w:rsid w:val="002D496D"/>
    <w:rsid w:val="002D7895"/>
    <w:rsid w:val="002E0BB6"/>
    <w:rsid w:val="002E2480"/>
    <w:rsid w:val="002E33B4"/>
    <w:rsid w:val="002E4ED2"/>
    <w:rsid w:val="002F1646"/>
    <w:rsid w:val="002F39B6"/>
    <w:rsid w:val="002F48BD"/>
    <w:rsid w:val="002F5772"/>
    <w:rsid w:val="002F5FEB"/>
    <w:rsid w:val="002F60C5"/>
    <w:rsid w:val="002F789A"/>
    <w:rsid w:val="00305FAD"/>
    <w:rsid w:val="00311F5D"/>
    <w:rsid w:val="00312EF0"/>
    <w:rsid w:val="00315115"/>
    <w:rsid w:val="003207AC"/>
    <w:rsid w:val="0033268D"/>
    <w:rsid w:val="003369D1"/>
    <w:rsid w:val="00336BF5"/>
    <w:rsid w:val="00341DEB"/>
    <w:rsid w:val="00343C83"/>
    <w:rsid w:val="003478A6"/>
    <w:rsid w:val="00352A66"/>
    <w:rsid w:val="0035480B"/>
    <w:rsid w:val="00355C75"/>
    <w:rsid w:val="00357779"/>
    <w:rsid w:val="00360AFE"/>
    <w:rsid w:val="00361A30"/>
    <w:rsid w:val="00364A95"/>
    <w:rsid w:val="00366331"/>
    <w:rsid w:val="00367BD9"/>
    <w:rsid w:val="00372C04"/>
    <w:rsid w:val="00376621"/>
    <w:rsid w:val="003826BC"/>
    <w:rsid w:val="00385EE2"/>
    <w:rsid w:val="00386156"/>
    <w:rsid w:val="00386496"/>
    <w:rsid w:val="003866FF"/>
    <w:rsid w:val="00390774"/>
    <w:rsid w:val="00392882"/>
    <w:rsid w:val="003951D7"/>
    <w:rsid w:val="003A06E9"/>
    <w:rsid w:val="003A0FC6"/>
    <w:rsid w:val="003A25B2"/>
    <w:rsid w:val="003A3FC8"/>
    <w:rsid w:val="003B0236"/>
    <w:rsid w:val="003B4966"/>
    <w:rsid w:val="003C1FC8"/>
    <w:rsid w:val="003C4805"/>
    <w:rsid w:val="003C599E"/>
    <w:rsid w:val="003D1D70"/>
    <w:rsid w:val="003D2BDF"/>
    <w:rsid w:val="003D303B"/>
    <w:rsid w:val="003D3D0A"/>
    <w:rsid w:val="003D418C"/>
    <w:rsid w:val="003D7699"/>
    <w:rsid w:val="003E1829"/>
    <w:rsid w:val="003E54E8"/>
    <w:rsid w:val="003E59D9"/>
    <w:rsid w:val="003F0E95"/>
    <w:rsid w:val="003F232A"/>
    <w:rsid w:val="003F24B3"/>
    <w:rsid w:val="003F4B21"/>
    <w:rsid w:val="00403AB5"/>
    <w:rsid w:val="00407867"/>
    <w:rsid w:val="004133CE"/>
    <w:rsid w:val="0041637B"/>
    <w:rsid w:val="004201C4"/>
    <w:rsid w:val="00424A1A"/>
    <w:rsid w:val="00425A51"/>
    <w:rsid w:val="00432E49"/>
    <w:rsid w:val="00437CA6"/>
    <w:rsid w:val="00437EE0"/>
    <w:rsid w:val="00440B1E"/>
    <w:rsid w:val="004449F3"/>
    <w:rsid w:val="00444DD6"/>
    <w:rsid w:val="004536DD"/>
    <w:rsid w:val="00463952"/>
    <w:rsid w:val="00470A21"/>
    <w:rsid w:val="0047494A"/>
    <w:rsid w:val="00474CC6"/>
    <w:rsid w:val="00484957"/>
    <w:rsid w:val="00484964"/>
    <w:rsid w:val="00487B1D"/>
    <w:rsid w:val="00487D68"/>
    <w:rsid w:val="00493369"/>
    <w:rsid w:val="00495DC0"/>
    <w:rsid w:val="00496A3F"/>
    <w:rsid w:val="004A0692"/>
    <w:rsid w:val="004A08FC"/>
    <w:rsid w:val="004A2785"/>
    <w:rsid w:val="004A2D77"/>
    <w:rsid w:val="004A440F"/>
    <w:rsid w:val="004A4AF8"/>
    <w:rsid w:val="004A7955"/>
    <w:rsid w:val="004B0901"/>
    <w:rsid w:val="004C3ED0"/>
    <w:rsid w:val="004C64A9"/>
    <w:rsid w:val="004C73FC"/>
    <w:rsid w:val="004E37CE"/>
    <w:rsid w:val="004E49EC"/>
    <w:rsid w:val="004E4C87"/>
    <w:rsid w:val="004E5345"/>
    <w:rsid w:val="004E5B3C"/>
    <w:rsid w:val="004E5C99"/>
    <w:rsid w:val="004E699D"/>
    <w:rsid w:val="004F2CA3"/>
    <w:rsid w:val="004F2D14"/>
    <w:rsid w:val="004F325F"/>
    <w:rsid w:val="004F5908"/>
    <w:rsid w:val="00501FCE"/>
    <w:rsid w:val="0050240B"/>
    <w:rsid w:val="00504A2A"/>
    <w:rsid w:val="00506270"/>
    <w:rsid w:val="00506896"/>
    <w:rsid w:val="00506966"/>
    <w:rsid w:val="00512AB5"/>
    <w:rsid w:val="00513086"/>
    <w:rsid w:val="00515565"/>
    <w:rsid w:val="0051688F"/>
    <w:rsid w:val="00517705"/>
    <w:rsid w:val="0052121C"/>
    <w:rsid w:val="005212B0"/>
    <w:rsid w:val="00522157"/>
    <w:rsid w:val="005243D2"/>
    <w:rsid w:val="00526846"/>
    <w:rsid w:val="00527D23"/>
    <w:rsid w:val="00532E62"/>
    <w:rsid w:val="00534299"/>
    <w:rsid w:val="0053672E"/>
    <w:rsid w:val="005373EA"/>
    <w:rsid w:val="00537713"/>
    <w:rsid w:val="00540D10"/>
    <w:rsid w:val="00541744"/>
    <w:rsid w:val="00541F03"/>
    <w:rsid w:val="00545885"/>
    <w:rsid w:val="0055733A"/>
    <w:rsid w:val="005677F9"/>
    <w:rsid w:val="005700AB"/>
    <w:rsid w:val="00570B8E"/>
    <w:rsid w:val="0057659A"/>
    <w:rsid w:val="00577038"/>
    <w:rsid w:val="00581438"/>
    <w:rsid w:val="005858CF"/>
    <w:rsid w:val="00586336"/>
    <w:rsid w:val="00590DE5"/>
    <w:rsid w:val="005920F1"/>
    <w:rsid w:val="00593EEF"/>
    <w:rsid w:val="0059756B"/>
    <w:rsid w:val="005A24EC"/>
    <w:rsid w:val="005A255E"/>
    <w:rsid w:val="005A6CF6"/>
    <w:rsid w:val="005A71A4"/>
    <w:rsid w:val="005A7B7D"/>
    <w:rsid w:val="005B0838"/>
    <w:rsid w:val="005B08B1"/>
    <w:rsid w:val="005B4F9E"/>
    <w:rsid w:val="005B7B2F"/>
    <w:rsid w:val="005C09BF"/>
    <w:rsid w:val="005C1D65"/>
    <w:rsid w:val="005C3E5E"/>
    <w:rsid w:val="005C3FDA"/>
    <w:rsid w:val="005C68ED"/>
    <w:rsid w:val="005E197A"/>
    <w:rsid w:val="005E3A57"/>
    <w:rsid w:val="005E7DFD"/>
    <w:rsid w:val="005F6CD7"/>
    <w:rsid w:val="00602F55"/>
    <w:rsid w:val="00603DB4"/>
    <w:rsid w:val="00606EF6"/>
    <w:rsid w:val="006106CA"/>
    <w:rsid w:val="00615DCD"/>
    <w:rsid w:val="00617201"/>
    <w:rsid w:val="00625D90"/>
    <w:rsid w:val="0062723F"/>
    <w:rsid w:val="00633CBB"/>
    <w:rsid w:val="00635BC1"/>
    <w:rsid w:val="0064178E"/>
    <w:rsid w:val="00642565"/>
    <w:rsid w:val="00642A89"/>
    <w:rsid w:val="00647344"/>
    <w:rsid w:val="00651A2F"/>
    <w:rsid w:val="0065353B"/>
    <w:rsid w:val="00653FD6"/>
    <w:rsid w:val="00654138"/>
    <w:rsid w:val="00654AA8"/>
    <w:rsid w:val="006567B2"/>
    <w:rsid w:val="00660B5C"/>
    <w:rsid w:val="0066518B"/>
    <w:rsid w:val="00665227"/>
    <w:rsid w:val="00670131"/>
    <w:rsid w:val="00670479"/>
    <w:rsid w:val="00673380"/>
    <w:rsid w:val="0068190A"/>
    <w:rsid w:val="00682C35"/>
    <w:rsid w:val="00686617"/>
    <w:rsid w:val="00686BF5"/>
    <w:rsid w:val="0068759B"/>
    <w:rsid w:val="00690463"/>
    <w:rsid w:val="006951C8"/>
    <w:rsid w:val="006A04A9"/>
    <w:rsid w:val="006A0CEB"/>
    <w:rsid w:val="006A158A"/>
    <w:rsid w:val="006A295D"/>
    <w:rsid w:val="006A76B1"/>
    <w:rsid w:val="006A7C45"/>
    <w:rsid w:val="006B0DFA"/>
    <w:rsid w:val="006B1D43"/>
    <w:rsid w:val="006B4D1F"/>
    <w:rsid w:val="006C0A87"/>
    <w:rsid w:val="006C2BF0"/>
    <w:rsid w:val="006C3A66"/>
    <w:rsid w:val="006C41E8"/>
    <w:rsid w:val="006C6D85"/>
    <w:rsid w:val="006D09FE"/>
    <w:rsid w:val="006D4118"/>
    <w:rsid w:val="006D47AC"/>
    <w:rsid w:val="006D4AAD"/>
    <w:rsid w:val="006D56CB"/>
    <w:rsid w:val="006E45BF"/>
    <w:rsid w:val="006E6EC4"/>
    <w:rsid w:val="006F567A"/>
    <w:rsid w:val="00706703"/>
    <w:rsid w:val="00717D2E"/>
    <w:rsid w:val="00725A73"/>
    <w:rsid w:val="0073238B"/>
    <w:rsid w:val="007350DD"/>
    <w:rsid w:val="00735140"/>
    <w:rsid w:val="00740310"/>
    <w:rsid w:val="007416ED"/>
    <w:rsid w:val="00742202"/>
    <w:rsid w:val="00742417"/>
    <w:rsid w:val="007463A0"/>
    <w:rsid w:val="00746C09"/>
    <w:rsid w:val="00754C57"/>
    <w:rsid w:val="007572C9"/>
    <w:rsid w:val="00762FB1"/>
    <w:rsid w:val="007635FC"/>
    <w:rsid w:val="00764272"/>
    <w:rsid w:val="00766476"/>
    <w:rsid w:val="00767B68"/>
    <w:rsid w:val="00770A37"/>
    <w:rsid w:val="00771EAD"/>
    <w:rsid w:val="007729CC"/>
    <w:rsid w:val="00783A8E"/>
    <w:rsid w:val="007861F6"/>
    <w:rsid w:val="007926EB"/>
    <w:rsid w:val="00797428"/>
    <w:rsid w:val="007A23E7"/>
    <w:rsid w:val="007A35FC"/>
    <w:rsid w:val="007A38ED"/>
    <w:rsid w:val="007A3EB1"/>
    <w:rsid w:val="007B3D7B"/>
    <w:rsid w:val="007B5C37"/>
    <w:rsid w:val="007B5EFC"/>
    <w:rsid w:val="007C2ECD"/>
    <w:rsid w:val="007C35C5"/>
    <w:rsid w:val="007C3F11"/>
    <w:rsid w:val="007C56A9"/>
    <w:rsid w:val="007C6056"/>
    <w:rsid w:val="007D0854"/>
    <w:rsid w:val="007D2CED"/>
    <w:rsid w:val="007D3721"/>
    <w:rsid w:val="007D4295"/>
    <w:rsid w:val="007D696B"/>
    <w:rsid w:val="007E1E34"/>
    <w:rsid w:val="007E2F79"/>
    <w:rsid w:val="007E3034"/>
    <w:rsid w:val="007E3935"/>
    <w:rsid w:val="007F3D43"/>
    <w:rsid w:val="007F4C12"/>
    <w:rsid w:val="007F7220"/>
    <w:rsid w:val="0080091C"/>
    <w:rsid w:val="00807578"/>
    <w:rsid w:val="0082056E"/>
    <w:rsid w:val="00821005"/>
    <w:rsid w:val="00825E94"/>
    <w:rsid w:val="0082712C"/>
    <w:rsid w:val="008304FE"/>
    <w:rsid w:val="00844AE4"/>
    <w:rsid w:val="00850BB2"/>
    <w:rsid w:val="008535F8"/>
    <w:rsid w:val="00854561"/>
    <w:rsid w:val="0085753D"/>
    <w:rsid w:val="00857546"/>
    <w:rsid w:val="00860B17"/>
    <w:rsid w:val="00861090"/>
    <w:rsid w:val="00861395"/>
    <w:rsid w:val="00870895"/>
    <w:rsid w:val="00870F14"/>
    <w:rsid w:val="00874D2D"/>
    <w:rsid w:val="00877BA1"/>
    <w:rsid w:val="00891D83"/>
    <w:rsid w:val="008A0E64"/>
    <w:rsid w:val="008A40E0"/>
    <w:rsid w:val="008A6373"/>
    <w:rsid w:val="008B3FEC"/>
    <w:rsid w:val="008B4EAE"/>
    <w:rsid w:val="008C48CA"/>
    <w:rsid w:val="008C4C69"/>
    <w:rsid w:val="008C5954"/>
    <w:rsid w:val="008C6880"/>
    <w:rsid w:val="008C76C2"/>
    <w:rsid w:val="008D0AA1"/>
    <w:rsid w:val="008D11F0"/>
    <w:rsid w:val="008D196A"/>
    <w:rsid w:val="008D4B67"/>
    <w:rsid w:val="008E5E0F"/>
    <w:rsid w:val="008F63C6"/>
    <w:rsid w:val="008F6633"/>
    <w:rsid w:val="008F77F8"/>
    <w:rsid w:val="00900B37"/>
    <w:rsid w:val="00900C5D"/>
    <w:rsid w:val="009028D6"/>
    <w:rsid w:val="0090415E"/>
    <w:rsid w:val="0090645D"/>
    <w:rsid w:val="00907C7C"/>
    <w:rsid w:val="00912499"/>
    <w:rsid w:val="00915AB5"/>
    <w:rsid w:val="009176F8"/>
    <w:rsid w:val="0092768F"/>
    <w:rsid w:val="00936613"/>
    <w:rsid w:val="00947291"/>
    <w:rsid w:val="00951CAC"/>
    <w:rsid w:val="00951EA6"/>
    <w:rsid w:val="009537D5"/>
    <w:rsid w:val="00953E1B"/>
    <w:rsid w:val="0095426C"/>
    <w:rsid w:val="00955623"/>
    <w:rsid w:val="00960681"/>
    <w:rsid w:val="00962438"/>
    <w:rsid w:val="00964B24"/>
    <w:rsid w:val="00966AF0"/>
    <w:rsid w:val="0096761F"/>
    <w:rsid w:val="00967DA1"/>
    <w:rsid w:val="00967FBF"/>
    <w:rsid w:val="00971ADC"/>
    <w:rsid w:val="00971B7E"/>
    <w:rsid w:val="00972DB4"/>
    <w:rsid w:val="0098067C"/>
    <w:rsid w:val="009816C5"/>
    <w:rsid w:val="009911E2"/>
    <w:rsid w:val="009A1FD6"/>
    <w:rsid w:val="009A368B"/>
    <w:rsid w:val="009A45DD"/>
    <w:rsid w:val="009A614E"/>
    <w:rsid w:val="009A6FBB"/>
    <w:rsid w:val="009B1CD3"/>
    <w:rsid w:val="009B2CB8"/>
    <w:rsid w:val="009B5D56"/>
    <w:rsid w:val="009B7E13"/>
    <w:rsid w:val="009C087F"/>
    <w:rsid w:val="009C4112"/>
    <w:rsid w:val="009C50A3"/>
    <w:rsid w:val="009C595D"/>
    <w:rsid w:val="009C5B32"/>
    <w:rsid w:val="009C7470"/>
    <w:rsid w:val="009D1D90"/>
    <w:rsid w:val="009D33B8"/>
    <w:rsid w:val="009D406E"/>
    <w:rsid w:val="009D67E0"/>
    <w:rsid w:val="009E5C6E"/>
    <w:rsid w:val="009E6CDC"/>
    <w:rsid w:val="009E6DA2"/>
    <w:rsid w:val="009F0662"/>
    <w:rsid w:val="009F41F8"/>
    <w:rsid w:val="009F535E"/>
    <w:rsid w:val="00A0160A"/>
    <w:rsid w:val="00A02712"/>
    <w:rsid w:val="00A07C55"/>
    <w:rsid w:val="00A12407"/>
    <w:rsid w:val="00A1405D"/>
    <w:rsid w:val="00A2187B"/>
    <w:rsid w:val="00A26C3F"/>
    <w:rsid w:val="00A33ACB"/>
    <w:rsid w:val="00A34E05"/>
    <w:rsid w:val="00A35A04"/>
    <w:rsid w:val="00A36F68"/>
    <w:rsid w:val="00A377F4"/>
    <w:rsid w:val="00A425C9"/>
    <w:rsid w:val="00A448B7"/>
    <w:rsid w:val="00A51D51"/>
    <w:rsid w:val="00A60696"/>
    <w:rsid w:val="00A6517F"/>
    <w:rsid w:val="00A70534"/>
    <w:rsid w:val="00A7129A"/>
    <w:rsid w:val="00A77697"/>
    <w:rsid w:val="00A851DF"/>
    <w:rsid w:val="00A856AF"/>
    <w:rsid w:val="00A85917"/>
    <w:rsid w:val="00A90BEE"/>
    <w:rsid w:val="00A91552"/>
    <w:rsid w:val="00A92B69"/>
    <w:rsid w:val="00A93EE4"/>
    <w:rsid w:val="00A95FEE"/>
    <w:rsid w:val="00A96FDB"/>
    <w:rsid w:val="00AA14F7"/>
    <w:rsid w:val="00AA384C"/>
    <w:rsid w:val="00AA5D95"/>
    <w:rsid w:val="00AA6C9B"/>
    <w:rsid w:val="00AB4EDA"/>
    <w:rsid w:val="00AB5E9C"/>
    <w:rsid w:val="00AC38B1"/>
    <w:rsid w:val="00AC7039"/>
    <w:rsid w:val="00AD14B1"/>
    <w:rsid w:val="00AD1A38"/>
    <w:rsid w:val="00AD723D"/>
    <w:rsid w:val="00AE249D"/>
    <w:rsid w:val="00AE3F8F"/>
    <w:rsid w:val="00AE6938"/>
    <w:rsid w:val="00AF196F"/>
    <w:rsid w:val="00AF3153"/>
    <w:rsid w:val="00AF6158"/>
    <w:rsid w:val="00AF709E"/>
    <w:rsid w:val="00AF714E"/>
    <w:rsid w:val="00AF74BF"/>
    <w:rsid w:val="00B013A9"/>
    <w:rsid w:val="00B06283"/>
    <w:rsid w:val="00B1061F"/>
    <w:rsid w:val="00B11B74"/>
    <w:rsid w:val="00B168B3"/>
    <w:rsid w:val="00B20B7E"/>
    <w:rsid w:val="00B23633"/>
    <w:rsid w:val="00B2372D"/>
    <w:rsid w:val="00B24AD8"/>
    <w:rsid w:val="00B301D4"/>
    <w:rsid w:val="00B315E1"/>
    <w:rsid w:val="00B320B7"/>
    <w:rsid w:val="00B33151"/>
    <w:rsid w:val="00B34374"/>
    <w:rsid w:val="00B34526"/>
    <w:rsid w:val="00B35B5F"/>
    <w:rsid w:val="00B37667"/>
    <w:rsid w:val="00B400E9"/>
    <w:rsid w:val="00B40383"/>
    <w:rsid w:val="00B407D5"/>
    <w:rsid w:val="00B4297F"/>
    <w:rsid w:val="00B42ACD"/>
    <w:rsid w:val="00B545F6"/>
    <w:rsid w:val="00B57939"/>
    <w:rsid w:val="00B64AD9"/>
    <w:rsid w:val="00B66D15"/>
    <w:rsid w:val="00B671B4"/>
    <w:rsid w:val="00B67D62"/>
    <w:rsid w:val="00B7184B"/>
    <w:rsid w:val="00B73F3C"/>
    <w:rsid w:val="00B81227"/>
    <w:rsid w:val="00B8195D"/>
    <w:rsid w:val="00B82B5D"/>
    <w:rsid w:val="00B97FBD"/>
    <w:rsid w:val="00BA0A45"/>
    <w:rsid w:val="00BA5B46"/>
    <w:rsid w:val="00BA6DFB"/>
    <w:rsid w:val="00BB0FC2"/>
    <w:rsid w:val="00BB1C30"/>
    <w:rsid w:val="00BB6217"/>
    <w:rsid w:val="00BD03AE"/>
    <w:rsid w:val="00BD2396"/>
    <w:rsid w:val="00BD4173"/>
    <w:rsid w:val="00BD61C1"/>
    <w:rsid w:val="00BD7F6F"/>
    <w:rsid w:val="00BE1A47"/>
    <w:rsid w:val="00BF0BA9"/>
    <w:rsid w:val="00BF13A0"/>
    <w:rsid w:val="00BF1B56"/>
    <w:rsid w:val="00BF3F6D"/>
    <w:rsid w:val="00BF423F"/>
    <w:rsid w:val="00BF5C22"/>
    <w:rsid w:val="00BF5DCF"/>
    <w:rsid w:val="00C01AF7"/>
    <w:rsid w:val="00C03559"/>
    <w:rsid w:val="00C04EC6"/>
    <w:rsid w:val="00C0545A"/>
    <w:rsid w:val="00C11BD5"/>
    <w:rsid w:val="00C15CF7"/>
    <w:rsid w:val="00C171B1"/>
    <w:rsid w:val="00C177ED"/>
    <w:rsid w:val="00C21DB6"/>
    <w:rsid w:val="00C222CA"/>
    <w:rsid w:val="00C26307"/>
    <w:rsid w:val="00C2792E"/>
    <w:rsid w:val="00C34332"/>
    <w:rsid w:val="00C343EA"/>
    <w:rsid w:val="00C35C8D"/>
    <w:rsid w:val="00C36E56"/>
    <w:rsid w:val="00C37FF4"/>
    <w:rsid w:val="00C5130E"/>
    <w:rsid w:val="00C51607"/>
    <w:rsid w:val="00C5463F"/>
    <w:rsid w:val="00C5678E"/>
    <w:rsid w:val="00C5688F"/>
    <w:rsid w:val="00C60461"/>
    <w:rsid w:val="00C61640"/>
    <w:rsid w:val="00C628CC"/>
    <w:rsid w:val="00C66D21"/>
    <w:rsid w:val="00C66D29"/>
    <w:rsid w:val="00C7172E"/>
    <w:rsid w:val="00C722BF"/>
    <w:rsid w:val="00C74BF5"/>
    <w:rsid w:val="00C75ED6"/>
    <w:rsid w:val="00C777E2"/>
    <w:rsid w:val="00C80477"/>
    <w:rsid w:val="00C82733"/>
    <w:rsid w:val="00C841B1"/>
    <w:rsid w:val="00C86FDA"/>
    <w:rsid w:val="00C87EB3"/>
    <w:rsid w:val="00C924E4"/>
    <w:rsid w:val="00C93CF9"/>
    <w:rsid w:val="00C94942"/>
    <w:rsid w:val="00C96813"/>
    <w:rsid w:val="00C97AE2"/>
    <w:rsid w:val="00CA2668"/>
    <w:rsid w:val="00CA29B0"/>
    <w:rsid w:val="00CA766A"/>
    <w:rsid w:val="00CB02E7"/>
    <w:rsid w:val="00CB37C4"/>
    <w:rsid w:val="00CB463D"/>
    <w:rsid w:val="00CB66A1"/>
    <w:rsid w:val="00CC39F6"/>
    <w:rsid w:val="00CC6AF7"/>
    <w:rsid w:val="00CC71A3"/>
    <w:rsid w:val="00CD3D33"/>
    <w:rsid w:val="00CD6830"/>
    <w:rsid w:val="00CD6F11"/>
    <w:rsid w:val="00CF2E0F"/>
    <w:rsid w:val="00CF48F8"/>
    <w:rsid w:val="00D00C9F"/>
    <w:rsid w:val="00D02373"/>
    <w:rsid w:val="00D05B04"/>
    <w:rsid w:val="00D05D56"/>
    <w:rsid w:val="00D05E79"/>
    <w:rsid w:val="00D16298"/>
    <w:rsid w:val="00D1689C"/>
    <w:rsid w:val="00D17747"/>
    <w:rsid w:val="00D25BC5"/>
    <w:rsid w:val="00D3041D"/>
    <w:rsid w:val="00D3079E"/>
    <w:rsid w:val="00D31EBD"/>
    <w:rsid w:val="00D32962"/>
    <w:rsid w:val="00D34446"/>
    <w:rsid w:val="00D3633F"/>
    <w:rsid w:val="00D4117B"/>
    <w:rsid w:val="00D42E14"/>
    <w:rsid w:val="00D4477B"/>
    <w:rsid w:val="00D47446"/>
    <w:rsid w:val="00D51186"/>
    <w:rsid w:val="00D6001F"/>
    <w:rsid w:val="00D6367F"/>
    <w:rsid w:val="00D63D36"/>
    <w:rsid w:val="00D6505E"/>
    <w:rsid w:val="00D65A09"/>
    <w:rsid w:val="00D7178F"/>
    <w:rsid w:val="00D72FBE"/>
    <w:rsid w:val="00D744FE"/>
    <w:rsid w:val="00D74615"/>
    <w:rsid w:val="00D7544C"/>
    <w:rsid w:val="00D75C36"/>
    <w:rsid w:val="00D80BD5"/>
    <w:rsid w:val="00D8115D"/>
    <w:rsid w:val="00D81F50"/>
    <w:rsid w:val="00D827A0"/>
    <w:rsid w:val="00D85FAB"/>
    <w:rsid w:val="00D86736"/>
    <w:rsid w:val="00D868A0"/>
    <w:rsid w:val="00D87000"/>
    <w:rsid w:val="00D87F3D"/>
    <w:rsid w:val="00D922C4"/>
    <w:rsid w:val="00D97AD1"/>
    <w:rsid w:val="00DA317E"/>
    <w:rsid w:val="00DA31B8"/>
    <w:rsid w:val="00DC141B"/>
    <w:rsid w:val="00DC2321"/>
    <w:rsid w:val="00DC2C97"/>
    <w:rsid w:val="00DC380D"/>
    <w:rsid w:val="00DC49E6"/>
    <w:rsid w:val="00DC4DB0"/>
    <w:rsid w:val="00DD0870"/>
    <w:rsid w:val="00DD4146"/>
    <w:rsid w:val="00DD4931"/>
    <w:rsid w:val="00DD6215"/>
    <w:rsid w:val="00DE2BEA"/>
    <w:rsid w:val="00DE6135"/>
    <w:rsid w:val="00DF5941"/>
    <w:rsid w:val="00DF5A03"/>
    <w:rsid w:val="00E05578"/>
    <w:rsid w:val="00E155D4"/>
    <w:rsid w:val="00E16CD1"/>
    <w:rsid w:val="00E247FE"/>
    <w:rsid w:val="00E27AE1"/>
    <w:rsid w:val="00E33DDF"/>
    <w:rsid w:val="00E34583"/>
    <w:rsid w:val="00E3550B"/>
    <w:rsid w:val="00E36F0B"/>
    <w:rsid w:val="00E41269"/>
    <w:rsid w:val="00E41854"/>
    <w:rsid w:val="00E506D5"/>
    <w:rsid w:val="00E52058"/>
    <w:rsid w:val="00E520FA"/>
    <w:rsid w:val="00E52D54"/>
    <w:rsid w:val="00E52E0E"/>
    <w:rsid w:val="00E53061"/>
    <w:rsid w:val="00E53202"/>
    <w:rsid w:val="00E53C99"/>
    <w:rsid w:val="00E54B5B"/>
    <w:rsid w:val="00E5504A"/>
    <w:rsid w:val="00E60B9E"/>
    <w:rsid w:val="00E618FD"/>
    <w:rsid w:val="00E704D0"/>
    <w:rsid w:val="00E7054D"/>
    <w:rsid w:val="00E720B2"/>
    <w:rsid w:val="00E7605C"/>
    <w:rsid w:val="00E7663F"/>
    <w:rsid w:val="00E76B6E"/>
    <w:rsid w:val="00E76F85"/>
    <w:rsid w:val="00E777F8"/>
    <w:rsid w:val="00E80B96"/>
    <w:rsid w:val="00E8199C"/>
    <w:rsid w:val="00E82122"/>
    <w:rsid w:val="00E8306C"/>
    <w:rsid w:val="00E83079"/>
    <w:rsid w:val="00E83283"/>
    <w:rsid w:val="00E85C63"/>
    <w:rsid w:val="00E867CA"/>
    <w:rsid w:val="00E87BD9"/>
    <w:rsid w:val="00E907E3"/>
    <w:rsid w:val="00E92A32"/>
    <w:rsid w:val="00E94C0B"/>
    <w:rsid w:val="00E9615E"/>
    <w:rsid w:val="00E9666D"/>
    <w:rsid w:val="00E97BC9"/>
    <w:rsid w:val="00EA198F"/>
    <w:rsid w:val="00EA1F22"/>
    <w:rsid w:val="00EA3FBF"/>
    <w:rsid w:val="00EB020D"/>
    <w:rsid w:val="00EB18FC"/>
    <w:rsid w:val="00EB23E2"/>
    <w:rsid w:val="00EB2668"/>
    <w:rsid w:val="00EB4A68"/>
    <w:rsid w:val="00ED05C2"/>
    <w:rsid w:val="00ED0E10"/>
    <w:rsid w:val="00ED1543"/>
    <w:rsid w:val="00ED18F7"/>
    <w:rsid w:val="00EE289B"/>
    <w:rsid w:val="00EE31B6"/>
    <w:rsid w:val="00EE3532"/>
    <w:rsid w:val="00EE5AA5"/>
    <w:rsid w:val="00EE69DF"/>
    <w:rsid w:val="00EF2B15"/>
    <w:rsid w:val="00F00C35"/>
    <w:rsid w:val="00F03F77"/>
    <w:rsid w:val="00F10A9D"/>
    <w:rsid w:val="00F12808"/>
    <w:rsid w:val="00F141B3"/>
    <w:rsid w:val="00F14293"/>
    <w:rsid w:val="00F22DBA"/>
    <w:rsid w:val="00F232CD"/>
    <w:rsid w:val="00F24DD0"/>
    <w:rsid w:val="00F41A50"/>
    <w:rsid w:val="00F43777"/>
    <w:rsid w:val="00F45A08"/>
    <w:rsid w:val="00F45CA1"/>
    <w:rsid w:val="00F52E28"/>
    <w:rsid w:val="00F55FDA"/>
    <w:rsid w:val="00F567E1"/>
    <w:rsid w:val="00F61AD8"/>
    <w:rsid w:val="00F67B66"/>
    <w:rsid w:val="00F70583"/>
    <w:rsid w:val="00F706ED"/>
    <w:rsid w:val="00F71287"/>
    <w:rsid w:val="00F71906"/>
    <w:rsid w:val="00F7391B"/>
    <w:rsid w:val="00F73CCB"/>
    <w:rsid w:val="00F748CA"/>
    <w:rsid w:val="00F759A6"/>
    <w:rsid w:val="00F80960"/>
    <w:rsid w:val="00F82F15"/>
    <w:rsid w:val="00F86BE5"/>
    <w:rsid w:val="00F9209D"/>
    <w:rsid w:val="00F922A7"/>
    <w:rsid w:val="00F949A5"/>
    <w:rsid w:val="00F95870"/>
    <w:rsid w:val="00F966BF"/>
    <w:rsid w:val="00F96C15"/>
    <w:rsid w:val="00FA39E1"/>
    <w:rsid w:val="00FB6515"/>
    <w:rsid w:val="00FB6D88"/>
    <w:rsid w:val="00FC6106"/>
    <w:rsid w:val="00FD2631"/>
    <w:rsid w:val="00FD4C40"/>
    <w:rsid w:val="00FD554F"/>
    <w:rsid w:val="00FD7159"/>
    <w:rsid w:val="00FD7225"/>
    <w:rsid w:val="00FE301E"/>
    <w:rsid w:val="00FE3DED"/>
    <w:rsid w:val="00FE4A9F"/>
    <w:rsid w:val="00FF24F7"/>
    <w:rsid w:val="00FF6235"/>
    <w:rsid w:val="00FF698D"/>
    <w:rsid w:val="2113E6AC"/>
    <w:rsid w:val="41BC660A"/>
    <w:rsid w:val="46DD3057"/>
    <w:rsid w:val="6721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CCE2"/>
  <w15:chartTrackingRefBased/>
  <w15:docId w15:val="{2EE51A7D-7AC4-46E1-A32D-AB5A772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eastAsia="et-E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24"/>
      <w:szCs w:val="24"/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left">
    <w:name w:val="left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03F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3F77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216FB0"/>
    <w:pPr>
      <w:ind w:left="720"/>
    </w:pPr>
  </w:style>
  <w:style w:type="paragraph" w:customStyle="1" w:styleId="western">
    <w:name w:val="western"/>
    <w:basedOn w:val="Normal"/>
    <w:rsid w:val="00197E4F"/>
    <w:pPr>
      <w:spacing w:before="100" w:beforeAutospacing="1" w:after="100" w:afterAutospacing="1"/>
    </w:pPr>
    <w:rPr>
      <w:color w:val="000000"/>
      <w:sz w:val="24"/>
      <w:szCs w:val="24"/>
      <w:lang w:eastAsia="et-EE"/>
    </w:rPr>
  </w:style>
  <w:style w:type="character" w:customStyle="1" w:styleId="pikktekst1">
    <w:name w:val="pikktekst1"/>
    <w:basedOn w:val="DefaultParagraphFont"/>
    <w:rsid w:val="00B7184B"/>
  </w:style>
  <w:style w:type="paragraph" w:styleId="NormalWeb">
    <w:name w:val="Normal (Web)"/>
    <w:basedOn w:val="Normal"/>
    <w:uiPriority w:val="99"/>
    <w:rsid w:val="005B08B1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tekst4">
    <w:name w:val="tekst4"/>
    <w:basedOn w:val="DefaultParagraphFont"/>
    <w:rsid w:val="005B08B1"/>
  </w:style>
  <w:style w:type="paragraph" w:styleId="BalloonText">
    <w:name w:val="Balloon Text"/>
    <w:basedOn w:val="Normal"/>
    <w:link w:val="BalloonTextChar"/>
    <w:uiPriority w:val="99"/>
    <w:semiHidden/>
    <w:unhideWhenUsed/>
    <w:rsid w:val="007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D7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D72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t-EE"/>
    </w:rPr>
  </w:style>
  <w:style w:type="character" w:customStyle="1" w:styleId="apple-converted-space">
    <w:name w:val="apple-converted-space"/>
    <w:rsid w:val="002D1270"/>
  </w:style>
  <w:style w:type="numbering" w:customStyle="1" w:styleId="WW8Num26">
    <w:name w:val="WW8Num26"/>
    <w:rsid w:val="0090415E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C6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8CC"/>
  </w:style>
  <w:style w:type="character" w:customStyle="1" w:styleId="CommentTextChar">
    <w:name w:val="Comment Text Char"/>
    <w:link w:val="CommentText"/>
    <w:uiPriority w:val="99"/>
    <w:rsid w:val="00C628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0BB6"/>
    <w:rPr>
      <w:b/>
      <w:bCs/>
      <w:lang w:eastAsia="en-US"/>
    </w:rPr>
  </w:style>
  <w:style w:type="paragraph" w:customStyle="1" w:styleId="m-2745462018455368481msolistparagraph">
    <w:name w:val="m_-2745462018455368481msolistparagraph"/>
    <w:basedOn w:val="Normal"/>
    <w:uiPriority w:val="99"/>
    <w:rsid w:val="00E36F0B"/>
    <w:pPr>
      <w:spacing w:before="100" w:beforeAutospacing="1" w:after="100" w:afterAutospacing="1"/>
    </w:pPr>
    <w:rPr>
      <w:rFonts w:eastAsia="Calibri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3D3D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8200453012096024630msolistparagraph">
    <w:name w:val="m_8200453012096024630msolistparagraph"/>
    <w:basedOn w:val="Normal"/>
    <w:rsid w:val="00B1061F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UnresolvedMention">
    <w:name w:val="Unresolved Mention"/>
    <w:uiPriority w:val="99"/>
    <w:semiHidden/>
    <w:unhideWhenUsed/>
    <w:rsid w:val="0051556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12407"/>
    <w:rPr>
      <w:lang w:eastAsia="en-US"/>
    </w:rPr>
  </w:style>
  <w:style w:type="character" w:customStyle="1" w:styleId="cf01">
    <w:name w:val="cf01"/>
    <w:rsid w:val="004F5908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2C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E0701F6335A4EAEC4F7CD0F44EBCE" ma:contentTypeVersion="13" ma:contentTypeDescription="Create a new document." ma:contentTypeScope="" ma:versionID="3ae344b377f5b6ec159464ff66850ff5">
  <xsd:schema xmlns:xsd="http://www.w3.org/2001/XMLSchema" xmlns:xs="http://www.w3.org/2001/XMLSchema" xmlns:p="http://schemas.microsoft.com/office/2006/metadata/properties" xmlns:ns3="ae612a72-9fb9-4f2a-9367-c5487340fa53" xmlns:ns4="824ada8b-8f13-46ad-9aba-030c140e77ba" targetNamespace="http://schemas.microsoft.com/office/2006/metadata/properties" ma:root="true" ma:fieldsID="e36c83d48e6a0e9349bca835ce74782c" ns3:_="" ns4:_="">
    <xsd:import namespace="ae612a72-9fb9-4f2a-9367-c5487340fa53"/>
    <xsd:import namespace="824ada8b-8f13-46ad-9aba-030c140e7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12a72-9fb9-4f2a-9367-c5487340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ada8b-8f13-46ad-9aba-030c140e7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612a72-9fb9-4f2a-9367-c5487340fa53" xsi:nil="true"/>
  </documentManagement>
</p:properties>
</file>

<file path=customXml/itemProps1.xml><?xml version="1.0" encoding="utf-8"?>
<ds:datastoreItem xmlns:ds="http://schemas.openxmlformats.org/officeDocument/2006/customXml" ds:itemID="{BB425E45-EBF0-44A8-A473-81E9390B0C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5CA40-BD41-4C2C-A505-EE278A20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12a72-9fb9-4f2a-9367-c5487340fa53"/>
    <ds:schemaRef ds:uri="824ada8b-8f13-46ad-9aba-030c140e7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E391A-1235-4D3D-B36E-EC62FDC5B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8375C-B2E0-4A7D-8D5D-27982EF80C42}">
  <ds:schemaRefs>
    <ds:schemaRef ds:uri="http://schemas.microsoft.com/office/2006/metadata/properties"/>
    <ds:schemaRef ds:uri="http://schemas.microsoft.com/office/infopath/2007/PartnerControls"/>
    <ds:schemaRef ds:uri="ae612a72-9fb9-4f2a-9367-c5487340f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Haiglate Liit</vt:lpstr>
    </vt:vector>
  </TitlesOfParts>
  <Company>Microsoft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Haiglate Liit</dc:title>
  <dc:subject>kirjablankett</dc:subject>
  <dc:creator>Haiglate Liit</dc:creator>
  <cp:keywords/>
  <cp:lastModifiedBy>Eesti Haiglate Liit</cp:lastModifiedBy>
  <cp:revision>2</cp:revision>
  <cp:lastPrinted>2017-12-11T22:43:00Z</cp:lastPrinted>
  <dcterms:created xsi:type="dcterms:W3CDTF">2026-04-16T09:23:00Z</dcterms:created>
  <dcterms:modified xsi:type="dcterms:W3CDTF">2026-04-16T09:23:00Z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0x010100C16E0701F6335A4EAEC4F7CD0F44EBCE</vt:lpwstr>
  </property>
</Properties>
</file>